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DA" w:rsidRPr="00703E49" w:rsidRDefault="00C757DA" w:rsidP="00C757DA">
      <w:pPr>
        <w:pStyle w:val="Heading1"/>
      </w:pPr>
      <w:r w:rsidRPr="00703E49">
        <w:t xml:space="preserve">Heating </w:t>
      </w:r>
      <w:r w:rsidR="00B45327" w:rsidRPr="00703E49">
        <w:t xml:space="preserve">&amp; Cooling </w:t>
      </w:r>
      <w:r w:rsidRPr="00703E49">
        <w:t>Policy</w:t>
      </w:r>
      <w:r w:rsidR="00110417" w:rsidRPr="00703E49">
        <w:t xml:space="preserve"> </w:t>
      </w:r>
    </w:p>
    <w:p w:rsidR="00F055DD" w:rsidRPr="00703E49" w:rsidRDefault="00F055DD" w:rsidP="00C20528">
      <w:pPr>
        <w:pStyle w:val="Heading2"/>
      </w:pPr>
      <w:r w:rsidRPr="00703E49">
        <w:t>Introduction</w:t>
      </w:r>
    </w:p>
    <w:p w:rsidR="00F055DD" w:rsidRPr="00703E49" w:rsidRDefault="00F055DD" w:rsidP="00F055DD">
      <w:pPr>
        <w:pStyle w:val="BodyText"/>
      </w:pPr>
      <w:r w:rsidRPr="00703E49">
        <w:t>The following document describes the University of York’s policy regarding the heating of spaces within the University in line with the University’s Welfare and Environmental strategies.</w:t>
      </w:r>
    </w:p>
    <w:p w:rsidR="00F055DD" w:rsidRPr="00703E49" w:rsidRDefault="00F055DD" w:rsidP="00F055DD">
      <w:pPr>
        <w:pStyle w:val="BodyText"/>
        <w:ind w:left="0"/>
      </w:pPr>
    </w:p>
    <w:p w:rsidR="00F055DD" w:rsidRPr="00703E49" w:rsidRDefault="00F055DD" w:rsidP="00F055DD">
      <w:pPr>
        <w:pStyle w:val="BodyText"/>
        <w:ind w:left="0"/>
      </w:pPr>
    </w:p>
    <w:p w:rsidR="001C1176" w:rsidRPr="00703E49" w:rsidRDefault="001C1176" w:rsidP="001C1176">
      <w:pPr>
        <w:pStyle w:val="Heading2"/>
      </w:pPr>
      <w:r w:rsidRPr="00703E49">
        <w:t>Heating</w:t>
      </w:r>
    </w:p>
    <w:p w:rsidR="001C1176" w:rsidRPr="00703E49" w:rsidRDefault="001C1176" w:rsidP="001C1176">
      <w:pPr>
        <w:pStyle w:val="Heading3"/>
      </w:pPr>
      <w:r w:rsidRPr="00703E49">
        <w:t>Minimum &amp; Maximum Temperature</w:t>
      </w:r>
    </w:p>
    <w:p w:rsidR="009A642A" w:rsidRPr="00703E49" w:rsidRDefault="009A642A" w:rsidP="009A642A">
      <w:pPr>
        <w:pStyle w:val="BodyText"/>
      </w:pPr>
    </w:p>
    <w:p w:rsidR="001C1176" w:rsidRPr="00703E49" w:rsidRDefault="001C1176" w:rsidP="001C1176">
      <w:pPr>
        <w:pStyle w:val="BodyText"/>
      </w:pPr>
      <w:r w:rsidRPr="00703E49">
        <w:t>Campus buildings are generally heated to a target</w:t>
      </w:r>
      <w:r w:rsidR="00FB7F09" w:rsidRPr="00703E49">
        <w:t xml:space="preserve"> temp band of 19-21</w:t>
      </w:r>
      <w:r w:rsidR="00703E49" w:rsidRPr="00703E49">
        <w:t>C</w:t>
      </w:r>
      <w:r w:rsidR="00C5082A" w:rsidRPr="00703E49">
        <w:t xml:space="preserve"> </w:t>
      </w:r>
      <w:r w:rsidR="00FB7F09" w:rsidRPr="00703E49">
        <w:t xml:space="preserve">with </w:t>
      </w:r>
      <w:r w:rsidRPr="00703E49">
        <w:t xml:space="preserve"> maximum internal space temperature of 21 degrees Celsius during the heating season</w:t>
      </w:r>
      <w:r w:rsidR="00703E49" w:rsidRPr="00703E49">
        <w:t xml:space="preserve"> in accordance with best practice guidance in CIBSE Guide A 2006.</w:t>
      </w:r>
      <w:r w:rsidRPr="00703E49">
        <w:t xml:space="preserve"> This is two degrees higher than the level specified in the legislative document: Control of Fuel and Electricity (Heating</w:t>
      </w:r>
      <w:proofErr w:type="gramStart"/>
      <w:r w:rsidRPr="00703E49">
        <w:t>)(</w:t>
      </w:r>
      <w:proofErr w:type="gramEnd"/>
      <w:r w:rsidRPr="00703E49">
        <w:t>Control)(Amendment) Order 1980.</w:t>
      </w:r>
      <w:r w:rsidR="00FB7F09" w:rsidRPr="00703E49">
        <w:t xml:space="preserve"> </w:t>
      </w:r>
    </w:p>
    <w:p w:rsidR="00C520EC" w:rsidRPr="00703E49" w:rsidRDefault="00C520EC" w:rsidP="001C1176">
      <w:pPr>
        <w:pStyle w:val="Heading3"/>
      </w:pPr>
    </w:p>
    <w:p w:rsidR="001C1176" w:rsidRPr="00703E49" w:rsidRDefault="001C1176" w:rsidP="001C1176">
      <w:pPr>
        <w:pStyle w:val="Heading3"/>
      </w:pPr>
      <w:r w:rsidRPr="00703E49">
        <w:t>Heating Season</w:t>
      </w:r>
    </w:p>
    <w:p w:rsidR="00703E49" w:rsidRPr="00703E49" w:rsidRDefault="00703E49" w:rsidP="00703E49">
      <w:pPr>
        <w:pStyle w:val="BodyText"/>
      </w:pPr>
    </w:p>
    <w:p w:rsidR="001C1176" w:rsidRPr="00703E49" w:rsidRDefault="001C1176" w:rsidP="001C1176">
      <w:pPr>
        <w:pStyle w:val="BodyText"/>
      </w:pPr>
      <w:r w:rsidRPr="00703E49">
        <w:t xml:space="preserve">Historically heating seasons spanned specific dates in the </w:t>
      </w:r>
      <w:r w:rsidR="00703E49" w:rsidRPr="00703E49">
        <w:t>c</w:t>
      </w:r>
      <w:r w:rsidRPr="00703E49">
        <w:t>alendar, typically from the beginning of October, until the end of April, but realistically an annual assessment of weather conditions by the Estates Operations team give</w:t>
      </w:r>
      <w:r w:rsidR="00703E49" w:rsidRPr="00703E49">
        <w:t>s</w:t>
      </w:r>
      <w:r w:rsidRPr="00703E49">
        <w:t xml:space="preserve"> a more effective start and end date to </w:t>
      </w:r>
      <w:r w:rsidR="00703E49" w:rsidRPr="00703E49">
        <w:t xml:space="preserve">operation </w:t>
      </w:r>
      <w:r w:rsidRPr="00703E49">
        <w:t xml:space="preserve">of the district heating system for building heating, so the target dates will move either way each year. </w:t>
      </w:r>
    </w:p>
    <w:p w:rsidR="00E4364C" w:rsidRPr="00703E49" w:rsidRDefault="00E4364C" w:rsidP="001C1176">
      <w:pPr>
        <w:pStyle w:val="Heading3"/>
      </w:pPr>
    </w:p>
    <w:p w:rsidR="001C1176" w:rsidRPr="00703E49" w:rsidRDefault="001C1176" w:rsidP="001C1176">
      <w:pPr>
        <w:pStyle w:val="Heading3"/>
      </w:pPr>
      <w:r w:rsidRPr="00703E49">
        <w:t>Heating Times</w:t>
      </w:r>
    </w:p>
    <w:p w:rsidR="00703E49" w:rsidRPr="00703E49" w:rsidRDefault="00703E49" w:rsidP="00703E49">
      <w:pPr>
        <w:pStyle w:val="BodyText"/>
      </w:pPr>
    </w:p>
    <w:p w:rsidR="001C1176" w:rsidRPr="00703E49" w:rsidRDefault="001C1176" w:rsidP="001C1176">
      <w:pPr>
        <w:pStyle w:val="BodyText"/>
      </w:pPr>
      <w:r w:rsidRPr="00703E49">
        <w:t xml:space="preserve">Lecture theatres and teaching areas are heated as close to the maximum internal temperature set point as possible during the heating season to their class booking </w:t>
      </w:r>
      <w:r w:rsidRPr="00703E49">
        <w:lastRenderedPageBreak/>
        <w:t>times once these times are known. Similarly, library areas are heated during the heating seasons to cover their opening times.</w:t>
      </w:r>
    </w:p>
    <w:p w:rsidR="00E4364C" w:rsidRPr="00703E49" w:rsidRDefault="00E4364C" w:rsidP="001C1176">
      <w:pPr>
        <w:pStyle w:val="BodyText"/>
      </w:pPr>
    </w:p>
    <w:p w:rsidR="001C1176" w:rsidRPr="00703E49" w:rsidRDefault="001C1176" w:rsidP="001C1176">
      <w:pPr>
        <w:pStyle w:val="BodyText"/>
      </w:pPr>
      <w:r w:rsidRPr="00703E49">
        <w:t>Accommodation is he</w:t>
      </w:r>
      <w:r w:rsidR="00C5082A" w:rsidRPr="00703E49">
        <w:t>ated from 07</w:t>
      </w:r>
      <w:r w:rsidR="00FB7F09" w:rsidRPr="00703E49">
        <w:t>.00 until 11.00 and 14</w:t>
      </w:r>
      <w:r w:rsidRPr="00703E49">
        <w:t xml:space="preserve">00 - 23.00 every day to as close the maximum internal temperature set point as possible during the heating season </w:t>
      </w:r>
    </w:p>
    <w:p w:rsidR="00E57862" w:rsidRPr="00703E49" w:rsidRDefault="00E57862" w:rsidP="001C1176">
      <w:pPr>
        <w:pStyle w:val="Heading4"/>
      </w:pPr>
    </w:p>
    <w:p w:rsidR="00703E49" w:rsidRPr="00703E49" w:rsidRDefault="001C1176" w:rsidP="001C1176">
      <w:pPr>
        <w:pStyle w:val="Heading4"/>
        <w:rPr>
          <w:i w:val="0"/>
        </w:rPr>
      </w:pPr>
      <w:r w:rsidRPr="00703E49">
        <w:rPr>
          <w:i w:val="0"/>
        </w:rPr>
        <w:t>Portable Heaters</w:t>
      </w:r>
      <w:r w:rsidR="00821E98" w:rsidRPr="00703E49">
        <w:rPr>
          <w:i w:val="0"/>
        </w:rPr>
        <w:t xml:space="preserve"> &amp; Coolers</w:t>
      </w:r>
    </w:p>
    <w:p w:rsidR="001C1176" w:rsidRPr="00703E49" w:rsidRDefault="00821E98" w:rsidP="00703E49">
      <w:pPr>
        <w:pStyle w:val="Heading4"/>
        <w:rPr>
          <w:rFonts w:ascii="Times New Roman" w:hAnsi="Times New Roman" w:cs="Times New Roman"/>
          <w:b w:val="0"/>
          <w:i w:val="0"/>
          <w:sz w:val="20"/>
        </w:rPr>
      </w:pPr>
      <w:r w:rsidRPr="00703E49">
        <w:rPr>
          <w:rFonts w:ascii="Times New Roman" w:hAnsi="Times New Roman" w:cs="Times New Roman"/>
          <w:b w:val="0"/>
          <w:i w:val="0"/>
          <w:sz w:val="20"/>
        </w:rPr>
        <w:t xml:space="preserve"> </w:t>
      </w:r>
      <w:r w:rsidR="001C1176" w:rsidRPr="00703E49">
        <w:rPr>
          <w:rFonts w:ascii="Times New Roman" w:hAnsi="Times New Roman" w:cs="Times New Roman"/>
          <w:b w:val="0"/>
          <w:i w:val="0"/>
          <w:sz w:val="20"/>
        </w:rPr>
        <w:t>The use of portable heaters is not recommended as:-</w:t>
      </w:r>
    </w:p>
    <w:p w:rsidR="00703E49" w:rsidRPr="00703E49" w:rsidRDefault="00703E49" w:rsidP="00703E49">
      <w:pPr>
        <w:pStyle w:val="BodyText"/>
      </w:pPr>
    </w:p>
    <w:p w:rsidR="001C1176" w:rsidRPr="00703E49" w:rsidRDefault="001C1176" w:rsidP="001C1176">
      <w:pPr>
        <w:pStyle w:val="C1HBullet"/>
      </w:pPr>
      <w:r w:rsidRPr="00703E49">
        <w:t>They constitute an increased fire risk to the buildings and occupants</w:t>
      </w:r>
    </w:p>
    <w:p w:rsidR="001C1176" w:rsidRPr="00703E49" w:rsidRDefault="001C1176" w:rsidP="001C1176">
      <w:pPr>
        <w:pStyle w:val="C1HBullet"/>
      </w:pPr>
      <w:r w:rsidRPr="00703E49">
        <w:t>They can cause false temperatures to be sensed and prevent heating to be enabled.</w:t>
      </w:r>
    </w:p>
    <w:p w:rsidR="001C1176" w:rsidRPr="00703E49" w:rsidRDefault="001C1176" w:rsidP="001C1176">
      <w:pPr>
        <w:pStyle w:val="C1HBullet"/>
      </w:pPr>
      <w:r w:rsidRPr="00703E49">
        <w:t>The electrical system is not designed for heavy load use such as multiple portable heaters; use of heaters can cause overload to occur and there is a potential disastrous failure of circuits.</w:t>
      </w:r>
    </w:p>
    <w:p w:rsidR="001C1176" w:rsidRPr="00703E49" w:rsidRDefault="001C1176" w:rsidP="001C1176">
      <w:pPr>
        <w:pStyle w:val="C1HBullet"/>
      </w:pPr>
      <w:r w:rsidRPr="00703E49">
        <w:t>The University is committed to reduce its Carbon Footprint under the Carbon Management Implementation Plan. Electrical energy consumption produces approximately 3 times as much CO2 as other forms of energy</w:t>
      </w:r>
    </w:p>
    <w:p w:rsidR="001C1176" w:rsidRPr="00703E49" w:rsidRDefault="001C1176" w:rsidP="001C1176">
      <w:pPr>
        <w:pStyle w:val="BodyText"/>
      </w:pPr>
    </w:p>
    <w:p w:rsidR="001C1176" w:rsidRPr="00703E49" w:rsidRDefault="001C1176" w:rsidP="0001585F">
      <w:pPr>
        <w:pStyle w:val="BodyText"/>
      </w:pPr>
      <w:r w:rsidRPr="00703E49">
        <w:t xml:space="preserve">Use of either portable electric heaters or air-conditioning cooling is not authorised in any University premises unless specifically agreed by Estates Services when existing systems have been found by Estates Services to be incapable of meeting acceptable conditions due to plant failure, building condition, or extreme climatic conditions. </w:t>
      </w:r>
    </w:p>
    <w:p w:rsidR="001C1176" w:rsidRPr="00703E49" w:rsidRDefault="001C1176" w:rsidP="0001585F">
      <w:pPr>
        <w:pStyle w:val="BodyText"/>
      </w:pPr>
    </w:p>
    <w:p w:rsidR="00110417" w:rsidRPr="00703E49" w:rsidRDefault="001C1176" w:rsidP="0001585F">
      <w:pPr>
        <w:pStyle w:val="BodyText"/>
      </w:pPr>
      <w:r w:rsidRPr="00703E49">
        <w:t>All electric heaters and air condition</w:t>
      </w:r>
      <w:r w:rsidR="00703E49" w:rsidRPr="00703E49">
        <w:t xml:space="preserve">ing units used </w:t>
      </w:r>
      <w:r w:rsidRPr="00703E49">
        <w:t>on University premises must be provided by the University Estates department</w:t>
      </w:r>
      <w:r w:rsidR="00110417" w:rsidRPr="00703E49">
        <w:t>.</w:t>
      </w:r>
      <w:r w:rsidRPr="00703E49">
        <w:t xml:space="preserve"> </w:t>
      </w:r>
    </w:p>
    <w:p w:rsidR="00E57862" w:rsidRPr="00703E49" w:rsidRDefault="00E57862" w:rsidP="0001585F">
      <w:pPr>
        <w:pStyle w:val="BodyText"/>
      </w:pPr>
    </w:p>
    <w:p w:rsidR="00E4364C" w:rsidRPr="00703E49" w:rsidRDefault="00E4364C" w:rsidP="0001585F">
      <w:pPr>
        <w:pStyle w:val="BodyText"/>
      </w:pPr>
    </w:p>
    <w:p w:rsidR="00E4364C" w:rsidRPr="00703E49" w:rsidRDefault="00E4364C" w:rsidP="0001585F">
      <w:pPr>
        <w:pStyle w:val="BodyText"/>
      </w:pPr>
    </w:p>
    <w:p w:rsidR="00E4364C" w:rsidRPr="00703E49" w:rsidRDefault="00E4364C" w:rsidP="00EE307D">
      <w:pPr>
        <w:pStyle w:val="BodyText"/>
        <w:ind w:hanging="2313"/>
      </w:pPr>
    </w:p>
    <w:p w:rsidR="00E57862" w:rsidRPr="00703E49" w:rsidRDefault="00E57862" w:rsidP="00EE307D">
      <w:pPr>
        <w:pStyle w:val="Heading2"/>
        <w:ind w:left="2880" w:hanging="2596"/>
      </w:pPr>
      <w:r w:rsidRPr="00703E49">
        <w:t xml:space="preserve">Cooling </w:t>
      </w:r>
    </w:p>
    <w:p w:rsidR="00E57862" w:rsidRPr="00703E49" w:rsidRDefault="00E57862" w:rsidP="0001585F">
      <w:pPr>
        <w:pStyle w:val="BodyText"/>
      </w:pPr>
    </w:p>
    <w:p w:rsidR="00E57862" w:rsidRPr="00703E49" w:rsidRDefault="00E57862" w:rsidP="0001585F">
      <w:pPr>
        <w:pStyle w:val="Heading3"/>
      </w:pPr>
      <w:r w:rsidRPr="00703E49">
        <w:t xml:space="preserve">Cooling Provision </w:t>
      </w:r>
    </w:p>
    <w:p w:rsidR="0001585F" w:rsidRPr="00703E49" w:rsidRDefault="0001585F" w:rsidP="0001585F">
      <w:pPr>
        <w:pStyle w:val="BodyText"/>
      </w:pPr>
    </w:p>
    <w:p w:rsidR="00E57862" w:rsidRPr="00703E49" w:rsidRDefault="00BE5CBF" w:rsidP="0001585F">
      <w:pPr>
        <w:autoSpaceDE w:val="0"/>
        <w:autoSpaceDN w:val="0"/>
        <w:adjustRightInd w:val="0"/>
        <w:ind w:left="2880"/>
      </w:pPr>
      <w:r w:rsidRPr="00703E49">
        <w:rPr>
          <w:rFonts w:cs="Times New Roman"/>
          <w:lang w:val="en-GB"/>
        </w:rPr>
        <w:t>There will be situations where personnel comfort cooling, will be required, however due to the additional electrical energy demand and maintenance implications they impose on the University, it is recommended that the requesting Department/School shall transfer an annual recharge into the University energy and A/C maintenance budget</w:t>
      </w:r>
      <w:r w:rsidRPr="00703E49">
        <w:rPr>
          <w:rFonts w:ascii="Arial" w:hAnsi="Arial" w:cs="Arial"/>
          <w:sz w:val="23"/>
          <w:szCs w:val="23"/>
          <w:lang w:val="en-GB"/>
        </w:rPr>
        <w:t>.</w:t>
      </w:r>
      <w:r w:rsidR="0001585F" w:rsidRPr="00703E49">
        <w:rPr>
          <w:rFonts w:ascii="Arial" w:hAnsi="Arial" w:cs="Arial"/>
          <w:sz w:val="23"/>
          <w:szCs w:val="23"/>
          <w:lang w:val="en-GB"/>
        </w:rPr>
        <w:t xml:space="preserve"> </w:t>
      </w:r>
    </w:p>
    <w:p w:rsidR="00BE5CBF" w:rsidRPr="00703E49" w:rsidRDefault="00BE5CBF" w:rsidP="0001585F">
      <w:pPr>
        <w:autoSpaceDE w:val="0"/>
        <w:autoSpaceDN w:val="0"/>
        <w:adjustRightInd w:val="0"/>
        <w:ind w:left="2880"/>
      </w:pPr>
    </w:p>
    <w:p w:rsidR="00BE5CBF" w:rsidRPr="00703E49" w:rsidRDefault="00BE5CBF" w:rsidP="0001585F">
      <w:pPr>
        <w:autoSpaceDE w:val="0"/>
        <w:autoSpaceDN w:val="0"/>
        <w:adjustRightInd w:val="0"/>
        <w:ind w:left="2880"/>
        <w:rPr>
          <w:rFonts w:cs="Times New Roman"/>
          <w:lang w:val="en-GB"/>
        </w:rPr>
      </w:pPr>
      <w:r w:rsidRPr="00703E49">
        <w:rPr>
          <w:rFonts w:cs="Times New Roman"/>
          <w:lang w:val="en-GB"/>
        </w:rPr>
        <w:lastRenderedPageBreak/>
        <w:t>All efforts should be made to ensure that comfort cooling is not required. To avoid the need for such systems the following principles should be adopted:</w:t>
      </w:r>
    </w:p>
    <w:p w:rsidR="00C044E4" w:rsidRPr="00703E49" w:rsidRDefault="00C044E4" w:rsidP="0001585F">
      <w:pPr>
        <w:pStyle w:val="BodyText"/>
      </w:pPr>
    </w:p>
    <w:p w:rsidR="00703E49" w:rsidRPr="00703E49" w:rsidRDefault="0001585F" w:rsidP="0001585F">
      <w:pPr>
        <w:autoSpaceDE w:val="0"/>
        <w:autoSpaceDN w:val="0"/>
        <w:adjustRightInd w:val="0"/>
        <w:ind w:left="2880"/>
        <w:rPr>
          <w:rFonts w:cs="Times New Roman"/>
          <w:lang w:val="en-GB"/>
        </w:rPr>
      </w:pPr>
      <w:r w:rsidRPr="00703E49">
        <w:rPr>
          <w:rFonts w:cs="Times New Roman"/>
          <w:lang w:val="en-GB"/>
        </w:rPr>
        <w:t>General awareness training should be provided encouraging staff to use alternatives to refrigerant cooling to maintain an acceptable working environment by means such as use of opening windows and blinds for shading</w:t>
      </w:r>
      <w:r w:rsidR="00703E49" w:rsidRPr="00703E49">
        <w:rPr>
          <w:rFonts w:cs="Times New Roman"/>
          <w:lang w:val="en-GB"/>
        </w:rPr>
        <w:t>.</w:t>
      </w:r>
    </w:p>
    <w:p w:rsidR="00703E49" w:rsidRPr="00703E49" w:rsidRDefault="00703E49" w:rsidP="0001585F">
      <w:pPr>
        <w:autoSpaceDE w:val="0"/>
        <w:autoSpaceDN w:val="0"/>
        <w:adjustRightInd w:val="0"/>
        <w:ind w:left="2880"/>
        <w:rPr>
          <w:rFonts w:cs="Times New Roman"/>
          <w:lang w:val="en-GB"/>
        </w:rPr>
      </w:pPr>
    </w:p>
    <w:p w:rsidR="0001585F" w:rsidRPr="00703E49" w:rsidRDefault="0001585F" w:rsidP="0001585F">
      <w:pPr>
        <w:autoSpaceDE w:val="0"/>
        <w:autoSpaceDN w:val="0"/>
        <w:adjustRightInd w:val="0"/>
        <w:ind w:left="2880"/>
        <w:rPr>
          <w:rFonts w:cs="Times New Roman"/>
          <w:lang w:val="en-GB"/>
        </w:rPr>
      </w:pPr>
      <w:r w:rsidRPr="00703E49">
        <w:rPr>
          <w:rFonts w:cs="Times New Roman"/>
          <w:lang w:val="en-GB"/>
        </w:rPr>
        <w:t xml:space="preserve"> </w:t>
      </w:r>
    </w:p>
    <w:p w:rsidR="0001585F" w:rsidRPr="00703E49" w:rsidRDefault="0001585F" w:rsidP="0001585F">
      <w:pPr>
        <w:pStyle w:val="Heading3"/>
        <w:rPr>
          <w:rFonts w:cs="Arial"/>
          <w:sz w:val="23"/>
          <w:szCs w:val="23"/>
          <w:lang w:val="en-GB"/>
        </w:rPr>
      </w:pPr>
      <w:r w:rsidRPr="00703E49">
        <w:t xml:space="preserve">Criteria for Refrigerant Cooling Provision </w:t>
      </w:r>
    </w:p>
    <w:p w:rsidR="0001585F" w:rsidRPr="00703E49" w:rsidRDefault="0001585F" w:rsidP="0001585F">
      <w:pPr>
        <w:autoSpaceDE w:val="0"/>
        <w:autoSpaceDN w:val="0"/>
        <w:adjustRightInd w:val="0"/>
        <w:ind w:left="2880"/>
        <w:rPr>
          <w:rFonts w:ascii="Arial" w:hAnsi="Arial" w:cs="Arial"/>
          <w:sz w:val="23"/>
          <w:szCs w:val="23"/>
          <w:lang w:val="en-GB"/>
        </w:rPr>
      </w:pPr>
      <w:r w:rsidRPr="00703E49">
        <w:rPr>
          <w:rFonts w:ascii="Arial" w:hAnsi="Arial" w:cs="Arial"/>
          <w:sz w:val="23"/>
          <w:szCs w:val="23"/>
          <w:lang w:val="en-GB"/>
        </w:rPr>
        <w:t xml:space="preserve"> </w:t>
      </w:r>
    </w:p>
    <w:p w:rsidR="0001585F" w:rsidRPr="00703E49" w:rsidRDefault="0001585F" w:rsidP="002A265D">
      <w:pPr>
        <w:autoSpaceDE w:val="0"/>
        <w:autoSpaceDN w:val="0"/>
        <w:adjustRightInd w:val="0"/>
        <w:ind w:left="2880"/>
        <w:rPr>
          <w:rFonts w:cs="Times New Roman"/>
          <w:lang w:val="en-GB"/>
        </w:rPr>
      </w:pPr>
      <w:r w:rsidRPr="00703E49">
        <w:rPr>
          <w:rFonts w:cs="Times New Roman"/>
          <w:lang w:val="en-GB"/>
        </w:rPr>
        <w:t>Comfort Cooling shall only be considered where</w:t>
      </w:r>
      <w:r w:rsidR="002A265D" w:rsidRPr="00703E49">
        <w:rPr>
          <w:rFonts w:cs="Times New Roman"/>
          <w:lang w:val="en-GB"/>
        </w:rPr>
        <w:t xml:space="preserve"> i</w:t>
      </w:r>
      <w:r w:rsidRPr="00703E49">
        <w:rPr>
          <w:rFonts w:cs="Times New Roman"/>
          <w:lang w:val="en-GB"/>
        </w:rPr>
        <w:t>t can be shown that the internal work space of continuously occupied areas equals or exceeds</w:t>
      </w:r>
      <w:r w:rsidR="002A265D" w:rsidRPr="00703E49">
        <w:rPr>
          <w:rFonts w:cs="Times New Roman"/>
          <w:lang w:val="en-GB"/>
        </w:rPr>
        <w:t xml:space="preserve"> </w:t>
      </w:r>
      <w:r w:rsidR="00F32235" w:rsidRPr="00703E49">
        <w:rPr>
          <w:rFonts w:cs="Times New Roman"/>
          <w:lang w:val="en-GB"/>
        </w:rPr>
        <w:t>28</w:t>
      </w:r>
      <w:r w:rsidRPr="00703E49">
        <w:rPr>
          <w:rFonts w:cs="Times New Roman"/>
          <w:lang w:val="en-GB"/>
        </w:rPr>
        <w:t>C for 50% of the working day for 5 consecutive working days.</w:t>
      </w:r>
    </w:p>
    <w:p w:rsidR="002A265D" w:rsidRPr="00703E49" w:rsidRDefault="002A265D" w:rsidP="002A265D">
      <w:pPr>
        <w:autoSpaceDE w:val="0"/>
        <w:autoSpaceDN w:val="0"/>
        <w:adjustRightInd w:val="0"/>
        <w:ind w:left="2880"/>
        <w:rPr>
          <w:rFonts w:cs="Times New Roman"/>
          <w:lang w:val="en-GB"/>
        </w:rPr>
      </w:pPr>
    </w:p>
    <w:p w:rsidR="0001585F" w:rsidRPr="00703E49" w:rsidRDefault="0001585F" w:rsidP="00021008">
      <w:pPr>
        <w:autoSpaceDE w:val="0"/>
        <w:autoSpaceDN w:val="0"/>
        <w:adjustRightInd w:val="0"/>
        <w:ind w:left="3544" w:hanging="664"/>
        <w:rPr>
          <w:rFonts w:cs="Times New Roman"/>
          <w:lang w:val="en-GB"/>
        </w:rPr>
      </w:pPr>
      <w:r w:rsidRPr="00703E49">
        <w:rPr>
          <w:rFonts w:cs="Times New Roman"/>
          <w:lang w:val="en-GB"/>
        </w:rPr>
        <w:t>OR</w:t>
      </w:r>
    </w:p>
    <w:p w:rsidR="002A265D" w:rsidRPr="00703E49" w:rsidRDefault="002A265D" w:rsidP="002A265D">
      <w:pPr>
        <w:autoSpaceDE w:val="0"/>
        <w:autoSpaceDN w:val="0"/>
        <w:adjustRightInd w:val="0"/>
        <w:ind w:left="2880"/>
        <w:rPr>
          <w:rFonts w:cs="Times New Roman"/>
          <w:lang w:val="en-GB"/>
        </w:rPr>
      </w:pPr>
    </w:p>
    <w:p w:rsidR="00703E49" w:rsidRPr="00703E49" w:rsidRDefault="0001585F" w:rsidP="002A265D">
      <w:pPr>
        <w:autoSpaceDE w:val="0"/>
        <w:autoSpaceDN w:val="0"/>
        <w:adjustRightInd w:val="0"/>
        <w:ind w:left="2880"/>
        <w:rPr>
          <w:rFonts w:cs="Times New Roman"/>
          <w:lang w:val="en-GB"/>
        </w:rPr>
      </w:pPr>
      <w:r w:rsidRPr="00703E49">
        <w:rPr>
          <w:rFonts w:cs="Times New Roman"/>
          <w:lang w:val="en-GB"/>
        </w:rPr>
        <w:t>The internal work space of continuously occup</w:t>
      </w:r>
      <w:r w:rsidR="00F32235" w:rsidRPr="00703E49">
        <w:rPr>
          <w:rFonts w:cs="Times New Roman"/>
          <w:lang w:val="en-GB"/>
        </w:rPr>
        <w:t>ied areas equals or exceeds 28</w:t>
      </w:r>
      <w:r w:rsidRPr="00703E49">
        <w:rPr>
          <w:rFonts w:cs="Times New Roman"/>
          <w:lang w:val="en-GB"/>
        </w:rPr>
        <w:t>ºC for 50% of the</w:t>
      </w:r>
      <w:r w:rsidR="002A265D" w:rsidRPr="00703E49">
        <w:rPr>
          <w:rFonts w:cs="Times New Roman"/>
          <w:lang w:val="en-GB"/>
        </w:rPr>
        <w:t xml:space="preserve"> </w:t>
      </w:r>
      <w:r w:rsidRPr="00703E49">
        <w:rPr>
          <w:rFonts w:cs="Times New Roman"/>
          <w:lang w:val="en-GB"/>
        </w:rPr>
        <w:t>working day for 3 consecutive days three times or more within a 12 month period.</w:t>
      </w:r>
      <w:r w:rsidR="002A265D" w:rsidRPr="00703E49">
        <w:rPr>
          <w:rFonts w:cs="Times New Roman"/>
          <w:lang w:val="en-GB"/>
        </w:rPr>
        <w:t xml:space="preserve"> </w:t>
      </w:r>
    </w:p>
    <w:p w:rsidR="00703E49" w:rsidRPr="00703E49" w:rsidRDefault="00703E49" w:rsidP="002A265D">
      <w:pPr>
        <w:autoSpaceDE w:val="0"/>
        <w:autoSpaceDN w:val="0"/>
        <w:adjustRightInd w:val="0"/>
        <w:ind w:left="2880"/>
        <w:rPr>
          <w:rFonts w:cs="Times New Roman"/>
          <w:lang w:val="en-GB"/>
        </w:rPr>
      </w:pPr>
    </w:p>
    <w:p w:rsidR="0001585F" w:rsidRPr="00703E49" w:rsidRDefault="00703E49" w:rsidP="002A265D">
      <w:pPr>
        <w:autoSpaceDE w:val="0"/>
        <w:autoSpaceDN w:val="0"/>
        <w:adjustRightInd w:val="0"/>
        <w:ind w:left="2880"/>
        <w:rPr>
          <w:rFonts w:cs="Times New Roman"/>
          <w:lang w:val="en-GB"/>
        </w:rPr>
      </w:pPr>
      <w:r w:rsidRPr="00703E49">
        <w:rPr>
          <w:rFonts w:cs="Times New Roman"/>
          <w:lang w:val="en-GB"/>
        </w:rPr>
        <w:t>U</w:t>
      </w:r>
      <w:r w:rsidR="0001585F" w:rsidRPr="00703E49">
        <w:rPr>
          <w:rFonts w:cs="Times New Roman"/>
          <w:lang w:val="en-GB"/>
        </w:rPr>
        <w:t>nseasonable and unexpected weather conditions will not be a basis for the installation of</w:t>
      </w:r>
      <w:r w:rsidR="002A265D" w:rsidRPr="00703E49">
        <w:rPr>
          <w:rFonts w:cs="Times New Roman"/>
          <w:lang w:val="en-GB"/>
        </w:rPr>
        <w:t xml:space="preserve"> c</w:t>
      </w:r>
      <w:r w:rsidR="0001585F" w:rsidRPr="00703E49">
        <w:rPr>
          <w:rFonts w:cs="Times New Roman"/>
          <w:lang w:val="en-GB"/>
        </w:rPr>
        <w:t>ooling systems.</w:t>
      </w:r>
    </w:p>
    <w:p w:rsidR="002A265D" w:rsidRPr="00703E49" w:rsidRDefault="002A265D" w:rsidP="002A265D">
      <w:pPr>
        <w:pStyle w:val="Heading3"/>
        <w:rPr>
          <w:b w:val="0"/>
          <w:sz w:val="24"/>
          <w:szCs w:val="24"/>
        </w:rPr>
      </w:pPr>
      <w:r w:rsidRPr="00703E49">
        <w:rPr>
          <w:b w:val="0"/>
          <w:sz w:val="24"/>
          <w:szCs w:val="24"/>
        </w:rPr>
        <w:t>Operating Criteria</w:t>
      </w:r>
    </w:p>
    <w:p w:rsidR="002A265D" w:rsidRPr="00703E49" w:rsidRDefault="002A265D" w:rsidP="002A265D">
      <w:pPr>
        <w:pStyle w:val="BodyText"/>
      </w:pPr>
    </w:p>
    <w:p w:rsidR="002A265D" w:rsidRPr="00703E49" w:rsidRDefault="002A265D" w:rsidP="002A265D">
      <w:pPr>
        <w:autoSpaceDE w:val="0"/>
        <w:autoSpaceDN w:val="0"/>
        <w:adjustRightInd w:val="0"/>
        <w:ind w:left="2880"/>
        <w:rPr>
          <w:rFonts w:cs="Times New Roman"/>
          <w:lang w:val="en-GB"/>
        </w:rPr>
      </w:pPr>
      <w:r w:rsidRPr="00703E49">
        <w:rPr>
          <w:rFonts w:cs="Times New Roman"/>
          <w:lang w:val="en-GB"/>
        </w:rPr>
        <w:t>The following design/control measures shall be incorporated:</w:t>
      </w:r>
    </w:p>
    <w:p w:rsidR="00703E49" w:rsidRPr="00703E49" w:rsidRDefault="00703E49" w:rsidP="002A265D">
      <w:pPr>
        <w:autoSpaceDE w:val="0"/>
        <w:autoSpaceDN w:val="0"/>
        <w:adjustRightInd w:val="0"/>
        <w:ind w:left="2880"/>
        <w:rPr>
          <w:rFonts w:cs="Times New Roman"/>
          <w:lang w:val="en-GB"/>
        </w:rPr>
      </w:pPr>
    </w:p>
    <w:p w:rsidR="002A265D" w:rsidRPr="00703E49" w:rsidRDefault="002A265D" w:rsidP="00703E49">
      <w:pPr>
        <w:pStyle w:val="ListParagraph"/>
        <w:numPr>
          <w:ilvl w:val="0"/>
          <w:numId w:val="41"/>
        </w:numPr>
        <w:autoSpaceDE w:val="0"/>
        <w:autoSpaceDN w:val="0"/>
        <w:adjustRightInd w:val="0"/>
        <w:rPr>
          <w:rFonts w:cs="Times New Roman"/>
          <w:lang w:val="en-GB"/>
        </w:rPr>
      </w:pPr>
      <w:r w:rsidRPr="00703E49">
        <w:rPr>
          <w:rFonts w:cs="Times New Roman"/>
          <w:lang w:val="en-GB"/>
        </w:rPr>
        <w:t>System designed to maintain an interna</w:t>
      </w:r>
      <w:r w:rsidR="00F32235" w:rsidRPr="00703E49">
        <w:rPr>
          <w:rFonts w:cs="Times New Roman"/>
          <w:lang w:val="en-GB"/>
        </w:rPr>
        <w:t>l temperature of a minimum of 22</w:t>
      </w:r>
      <w:r w:rsidRPr="00703E49">
        <w:rPr>
          <w:rFonts w:cs="Times New Roman"/>
          <w:lang w:val="en-GB"/>
        </w:rPr>
        <w:t>°C and shall be activated at 2</w:t>
      </w:r>
      <w:r w:rsidR="00C5082A" w:rsidRPr="00703E49">
        <w:rPr>
          <w:rFonts w:cs="Times New Roman"/>
          <w:lang w:val="en-GB"/>
        </w:rPr>
        <w:t>5</w:t>
      </w:r>
      <w:r w:rsidRPr="00703E49">
        <w:rPr>
          <w:rFonts w:cs="Times New Roman"/>
          <w:lang w:val="en-GB"/>
        </w:rPr>
        <w:t xml:space="preserve">°C. </w:t>
      </w:r>
    </w:p>
    <w:p w:rsidR="00703E49" w:rsidRPr="00703E49" w:rsidRDefault="00703E49" w:rsidP="00703E49">
      <w:pPr>
        <w:autoSpaceDE w:val="0"/>
        <w:autoSpaceDN w:val="0"/>
        <w:adjustRightInd w:val="0"/>
        <w:ind w:left="3240" w:hanging="360"/>
        <w:rPr>
          <w:rFonts w:cs="Times New Roman"/>
          <w:lang w:val="en-GB"/>
        </w:rPr>
      </w:pPr>
    </w:p>
    <w:p w:rsidR="002A265D" w:rsidRPr="00703E49" w:rsidRDefault="002A265D" w:rsidP="00703E49">
      <w:pPr>
        <w:autoSpaceDE w:val="0"/>
        <w:autoSpaceDN w:val="0"/>
        <w:adjustRightInd w:val="0"/>
        <w:ind w:left="3240" w:hanging="360"/>
        <w:rPr>
          <w:rFonts w:cs="Times New Roman"/>
        </w:rPr>
      </w:pPr>
      <w:r w:rsidRPr="00703E49">
        <w:rPr>
          <w:rFonts w:cs="Times New Roman"/>
          <w:lang w:val="en-GB"/>
        </w:rPr>
        <w:t xml:space="preserve">b) </w:t>
      </w:r>
      <w:r w:rsidRPr="00703E49">
        <w:rPr>
          <w:rFonts w:cs="Times New Roman"/>
          <w:lang w:val="en-GB"/>
        </w:rPr>
        <w:tab/>
        <w:t>System controlled via the University’s Building Energy Management System and interlinked with the heating to avoid both systems being in conflict with one another.</w:t>
      </w:r>
      <w:r w:rsidRPr="00703E49">
        <w:rPr>
          <w:rFonts w:cs="Times New Roman"/>
        </w:rPr>
        <w:t xml:space="preserve"> </w:t>
      </w:r>
    </w:p>
    <w:p w:rsidR="002A265D" w:rsidRPr="00703E49" w:rsidRDefault="002A265D" w:rsidP="00021008">
      <w:pPr>
        <w:pStyle w:val="Heading3"/>
        <w:ind w:left="3600" w:hanging="720"/>
      </w:pPr>
      <w:r w:rsidRPr="00703E49">
        <w:t xml:space="preserve">Accountability  </w:t>
      </w:r>
    </w:p>
    <w:p w:rsidR="002A265D" w:rsidRPr="00703E49" w:rsidRDefault="002A265D" w:rsidP="00021008">
      <w:pPr>
        <w:pStyle w:val="BodyText"/>
        <w:ind w:left="3600" w:hanging="720"/>
      </w:pPr>
    </w:p>
    <w:p w:rsidR="002A265D" w:rsidRPr="00703E49" w:rsidRDefault="002A265D" w:rsidP="00021008">
      <w:pPr>
        <w:pStyle w:val="ListParagraph"/>
        <w:numPr>
          <w:ilvl w:val="0"/>
          <w:numId w:val="40"/>
        </w:numPr>
        <w:tabs>
          <w:tab w:val="left" w:pos="1701"/>
        </w:tabs>
        <w:autoSpaceDE w:val="0"/>
        <w:autoSpaceDN w:val="0"/>
        <w:adjustRightInd w:val="0"/>
        <w:ind w:left="3600" w:hanging="720"/>
        <w:rPr>
          <w:rFonts w:cs="Times New Roman"/>
          <w:lang w:val="en-GB"/>
        </w:rPr>
      </w:pPr>
      <w:r w:rsidRPr="00703E49">
        <w:rPr>
          <w:rFonts w:cs="Times New Roman"/>
          <w:lang w:val="en-GB"/>
        </w:rPr>
        <w:t>The funding of the capital, energy and maintenance costs for the cooling system shall be identified and agreed, prior to installation.</w:t>
      </w:r>
    </w:p>
    <w:p w:rsidR="002A265D" w:rsidRPr="00703E49" w:rsidRDefault="002A265D" w:rsidP="00021008">
      <w:pPr>
        <w:pStyle w:val="ListParagraph"/>
        <w:numPr>
          <w:ilvl w:val="0"/>
          <w:numId w:val="40"/>
        </w:numPr>
        <w:tabs>
          <w:tab w:val="left" w:pos="1701"/>
        </w:tabs>
        <w:autoSpaceDE w:val="0"/>
        <w:autoSpaceDN w:val="0"/>
        <w:adjustRightInd w:val="0"/>
        <w:ind w:left="3600" w:hanging="720"/>
        <w:rPr>
          <w:rFonts w:cs="Times New Roman"/>
          <w:lang w:val="en-GB"/>
        </w:rPr>
      </w:pPr>
      <w:r w:rsidRPr="00703E49">
        <w:rPr>
          <w:rFonts w:cs="Times New Roman"/>
          <w:lang w:val="en-GB"/>
        </w:rPr>
        <w:t>The requirements of the system are checked annually for suitability.</w:t>
      </w:r>
    </w:p>
    <w:p w:rsidR="002A265D" w:rsidRPr="00703E49" w:rsidRDefault="002A265D" w:rsidP="00021008">
      <w:pPr>
        <w:pStyle w:val="ListParagraph"/>
        <w:numPr>
          <w:ilvl w:val="0"/>
          <w:numId w:val="40"/>
        </w:numPr>
        <w:tabs>
          <w:tab w:val="left" w:pos="3544"/>
        </w:tabs>
        <w:autoSpaceDE w:val="0"/>
        <w:autoSpaceDN w:val="0"/>
        <w:adjustRightInd w:val="0"/>
        <w:ind w:left="3600" w:hanging="720"/>
        <w:rPr>
          <w:rFonts w:cs="Times New Roman"/>
          <w:lang w:val="en-GB"/>
        </w:rPr>
      </w:pPr>
      <w:r w:rsidRPr="00703E49">
        <w:rPr>
          <w:rFonts w:cs="Times New Roman"/>
          <w:lang w:val="en-GB"/>
        </w:rPr>
        <w:t xml:space="preserve"> </w:t>
      </w:r>
      <w:r w:rsidR="00021008" w:rsidRPr="00703E49">
        <w:rPr>
          <w:rFonts w:cs="Times New Roman"/>
          <w:lang w:val="en-GB"/>
        </w:rPr>
        <w:t xml:space="preserve"> </w:t>
      </w:r>
      <w:r w:rsidRPr="00703E49">
        <w:rPr>
          <w:rFonts w:cs="Times New Roman"/>
          <w:lang w:val="en-GB"/>
        </w:rPr>
        <w:t>Energy accounting methods shall be provided in accordance with Building Regulations, Part L, latest editions.</w:t>
      </w:r>
    </w:p>
    <w:p w:rsidR="002A265D" w:rsidRPr="00703E49" w:rsidRDefault="002A265D" w:rsidP="00021008">
      <w:pPr>
        <w:autoSpaceDE w:val="0"/>
        <w:autoSpaceDN w:val="0"/>
        <w:adjustRightInd w:val="0"/>
        <w:ind w:left="3600" w:hanging="720"/>
        <w:rPr>
          <w:rFonts w:ascii="Arial" w:hAnsi="Arial" w:cs="Arial"/>
          <w:sz w:val="23"/>
          <w:szCs w:val="23"/>
          <w:lang w:val="en-GB"/>
        </w:rPr>
      </w:pPr>
    </w:p>
    <w:p w:rsidR="00703E49" w:rsidRPr="00703E49" w:rsidRDefault="00703E49" w:rsidP="000515A8">
      <w:pPr>
        <w:autoSpaceDE w:val="0"/>
        <w:autoSpaceDN w:val="0"/>
        <w:adjustRightInd w:val="0"/>
        <w:ind w:left="2880"/>
        <w:rPr>
          <w:rFonts w:cs="Times New Roman"/>
          <w:i/>
          <w:lang w:val="en-GB"/>
        </w:rPr>
      </w:pPr>
    </w:p>
    <w:p w:rsidR="00703E49" w:rsidRPr="00703E49" w:rsidRDefault="00703E49" w:rsidP="000515A8">
      <w:pPr>
        <w:autoSpaceDE w:val="0"/>
        <w:autoSpaceDN w:val="0"/>
        <w:adjustRightInd w:val="0"/>
        <w:ind w:left="2880"/>
        <w:rPr>
          <w:rFonts w:cs="Times New Roman"/>
          <w:i/>
          <w:lang w:val="en-GB"/>
        </w:rPr>
      </w:pPr>
    </w:p>
    <w:p w:rsidR="002A265D" w:rsidRPr="00703E49" w:rsidRDefault="002A265D" w:rsidP="000515A8">
      <w:pPr>
        <w:autoSpaceDE w:val="0"/>
        <w:autoSpaceDN w:val="0"/>
        <w:adjustRightInd w:val="0"/>
        <w:ind w:left="2880"/>
        <w:rPr>
          <w:rFonts w:cs="Times New Roman"/>
          <w:i/>
          <w:lang w:val="en-GB"/>
        </w:rPr>
      </w:pPr>
      <w:r w:rsidRPr="00703E49">
        <w:rPr>
          <w:rFonts w:cs="Times New Roman"/>
          <w:i/>
          <w:lang w:val="en-GB"/>
        </w:rPr>
        <w:t>This Policy refers to comfort cooling only. When the function of an area requires specific</w:t>
      </w:r>
      <w:r w:rsidR="000515A8" w:rsidRPr="00703E49">
        <w:rPr>
          <w:rFonts w:cs="Times New Roman"/>
          <w:i/>
          <w:lang w:val="en-GB"/>
        </w:rPr>
        <w:t xml:space="preserve"> </w:t>
      </w:r>
      <w:r w:rsidRPr="00703E49">
        <w:rPr>
          <w:rFonts w:cs="Times New Roman"/>
          <w:i/>
          <w:lang w:val="en-GB"/>
        </w:rPr>
        <w:t>operating conditions i.e. processes, specialist equipment, chemical storage etc. then such</w:t>
      </w:r>
      <w:r w:rsidR="000515A8" w:rsidRPr="00703E49">
        <w:rPr>
          <w:rFonts w:cs="Times New Roman"/>
          <w:i/>
          <w:lang w:val="en-GB"/>
        </w:rPr>
        <w:t xml:space="preserve"> </w:t>
      </w:r>
      <w:r w:rsidRPr="00703E49">
        <w:rPr>
          <w:rFonts w:cs="Times New Roman"/>
          <w:i/>
          <w:lang w:val="en-GB"/>
        </w:rPr>
        <w:t>areas will be assessed independently. If it is concluded that cooling or air conditioning is</w:t>
      </w:r>
      <w:r w:rsidR="000515A8" w:rsidRPr="00703E49">
        <w:rPr>
          <w:rFonts w:cs="Times New Roman"/>
          <w:i/>
          <w:lang w:val="en-GB"/>
        </w:rPr>
        <w:t xml:space="preserve"> </w:t>
      </w:r>
      <w:r w:rsidRPr="00703E49">
        <w:rPr>
          <w:rFonts w:cs="Times New Roman"/>
          <w:i/>
          <w:lang w:val="en-GB"/>
        </w:rPr>
        <w:t xml:space="preserve">necessary then </w:t>
      </w:r>
      <w:proofErr w:type="spellStart"/>
      <w:r w:rsidRPr="00703E49">
        <w:rPr>
          <w:rFonts w:cs="Times New Roman"/>
          <w:i/>
          <w:lang w:val="en-GB"/>
        </w:rPr>
        <w:t>para</w:t>
      </w:r>
      <w:proofErr w:type="spellEnd"/>
      <w:r w:rsidRPr="00703E49">
        <w:rPr>
          <w:rFonts w:cs="Times New Roman"/>
          <w:i/>
          <w:lang w:val="en-GB"/>
        </w:rPr>
        <w:t xml:space="preserve"> a) above shall apply.</w:t>
      </w: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Default="00F32235" w:rsidP="000515A8">
      <w:pPr>
        <w:autoSpaceDE w:val="0"/>
        <w:autoSpaceDN w:val="0"/>
        <w:adjustRightInd w:val="0"/>
        <w:ind w:left="2880"/>
        <w:rPr>
          <w:rFonts w:cs="Times New Roman"/>
          <w:i/>
          <w:lang w:val="en-GB"/>
        </w:rPr>
      </w:pPr>
    </w:p>
    <w:p w:rsidR="00F32235" w:rsidRPr="002A265D" w:rsidRDefault="00F32235" w:rsidP="000515A8">
      <w:pPr>
        <w:autoSpaceDE w:val="0"/>
        <w:autoSpaceDN w:val="0"/>
        <w:adjustRightInd w:val="0"/>
        <w:ind w:left="2880"/>
        <w:rPr>
          <w:rFonts w:cs="Times New Roman"/>
          <w:i/>
        </w:rPr>
      </w:pPr>
    </w:p>
    <w:p w:rsidR="00C20528" w:rsidRDefault="00C20528" w:rsidP="00C20528">
      <w:pPr>
        <w:pStyle w:val="Heading2"/>
      </w:pPr>
      <w:r>
        <w:t>Revisions</w:t>
      </w:r>
    </w:p>
    <w:p w:rsidR="00C20528" w:rsidRDefault="00C20528" w:rsidP="00C20528">
      <w:pPr>
        <w:pStyle w:val="BodyText"/>
      </w:pPr>
    </w:p>
    <w:tbl>
      <w:tblPr>
        <w:tblW w:w="6510" w:type="dxa"/>
        <w:tblInd w:w="28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tblPr>
      <w:tblGrid>
        <w:gridCol w:w="829"/>
        <w:gridCol w:w="1134"/>
        <w:gridCol w:w="3545"/>
        <w:gridCol w:w="1002"/>
      </w:tblGrid>
      <w:tr w:rsidR="00C20528" w:rsidTr="00C20528">
        <w:tc>
          <w:tcPr>
            <w:tcW w:w="829" w:type="dxa"/>
            <w:tcBorders>
              <w:top w:val="double" w:sz="6" w:space="0" w:color="auto"/>
              <w:left w:val="double" w:sz="6" w:space="0" w:color="auto"/>
              <w:bottom w:val="double" w:sz="6" w:space="0" w:color="auto"/>
              <w:right w:val="single" w:sz="6" w:space="0" w:color="auto"/>
            </w:tcBorders>
            <w:shd w:val="clear" w:color="auto" w:fill="C0C0C0"/>
            <w:hideMark/>
          </w:tcPr>
          <w:p w:rsidR="00C20528" w:rsidRDefault="00C20528">
            <w:pPr>
              <w:pStyle w:val="TableHeading"/>
            </w:pPr>
            <w:r>
              <w:t>Issue</w:t>
            </w:r>
          </w:p>
        </w:tc>
        <w:tc>
          <w:tcPr>
            <w:tcW w:w="1134" w:type="dxa"/>
            <w:tcBorders>
              <w:top w:val="double" w:sz="6" w:space="0" w:color="auto"/>
              <w:left w:val="single" w:sz="6" w:space="0" w:color="auto"/>
              <w:bottom w:val="double" w:sz="6" w:space="0" w:color="auto"/>
              <w:right w:val="single" w:sz="6" w:space="0" w:color="auto"/>
            </w:tcBorders>
            <w:shd w:val="clear" w:color="auto" w:fill="C0C0C0"/>
            <w:hideMark/>
          </w:tcPr>
          <w:p w:rsidR="00C20528" w:rsidRDefault="00C20528">
            <w:pPr>
              <w:pStyle w:val="TableHeading"/>
            </w:pPr>
            <w:r>
              <w:t>Date</w:t>
            </w:r>
          </w:p>
        </w:tc>
        <w:tc>
          <w:tcPr>
            <w:tcW w:w="3544" w:type="dxa"/>
            <w:tcBorders>
              <w:top w:val="double" w:sz="6" w:space="0" w:color="auto"/>
              <w:left w:val="single" w:sz="6" w:space="0" w:color="auto"/>
              <w:bottom w:val="double" w:sz="6" w:space="0" w:color="auto"/>
              <w:right w:val="single" w:sz="6" w:space="0" w:color="auto"/>
            </w:tcBorders>
            <w:shd w:val="clear" w:color="auto" w:fill="C0C0C0"/>
            <w:hideMark/>
          </w:tcPr>
          <w:p w:rsidR="00C20528" w:rsidRDefault="00C20528">
            <w:pPr>
              <w:pStyle w:val="TableHeading"/>
            </w:pPr>
            <w:r>
              <w:t>Revision</w:t>
            </w:r>
          </w:p>
        </w:tc>
        <w:tc>
          <w:tcPr>
            <w:tcW w:w="1002" w:type="dxa"/>
            <w:tcBorders>
              <w:top w:val="double" w:sz="6" w:space="0" w:color="auto"/>
              <w:left w:val="single" w:sz="6" w:space="0" w:color="auto"/>
              <w:bottom w:val="double" w:sz="6" w:space="0" w:color="auto"/>
              <w:right w:val="double" w:sz="6" w:space="0" w:color="auto"/>
            </w:tcBorders>
            <w:shd w:val="clear" w:color="auto" w:fill="C0C0C0"/>
            <w:hideMark/>
          </w:tcPr>
          <w:p w:rsidR="00C20528" w:rsidRDefault="00C20528">
            <w:pPr>
              <w:pStyle w:val="TableHeading"/>
            </w:pPr>
            <w:r>
              <w:t>By</w:t>
            </w:r>
          </w:p>
        </w:tc>
      </w:tr>
      <w:tr w:rsidR="00C20528" w:rsidTr="00C20528">
        <w:tc>
          <w:tcPr>
            <w:tcW w:w="829" w:type="dxa"/>
            <w:tcBorders>
              <w:top w:val="double" w:sz="6" w:space="0" w:color="auto"/>
              <w:left w:val="double" w:sz="6" w:space="0" w:color="auto"/>
              <w:bottom w:val="single" w:sz="6" w:space="0" w:color="auto"/>
              <w:right w:val="single" w:sz="6" w:space="0" w:color="auto"/>
            </w:tcBorders>
            <w:hideMark/>
          </w:tcPr>
          <w:p w:rsidR="00C20528" w:rsidRDefault="00C20528">
            <w:pPr>
              <w:pStyle w:val="TableText"/>
            </w:pPr>
            <w:r>
              <w:t>A</w:t>
            </w:r>
          </w:p>
        </w:tc>
        <w:tc>
          <w:tcPr>
            <w:tcW w:w="1134" w:type="dxa"/>
            <w:tcBorders>
              <w:top w:val="double" w:sz="6" w:space="0" w:color="auto"/>
              <w:left w:val="single" w:sz="6" w:space="0" w:color="auto"/>
              <w:bottom w:val="single" w:sz="6" w:space="0" w:color="auto"/>
              <w:right w:val="single" w:sz="6" w:space="0" w:color="auto"/>
            </w:tcBorders>
            <w:hideMark/>
          </w:tcPr>
          <w:p w:rsidR="00C20528" w:rsidRDefault="00C20528">
            <w:pPr>
              <w:pStyle w:val="TableText"/>
            </w:pPr>
            <w:r>
              <w:t>6/12/2010</w:t>
            </w:r>
          </w:p>
        </w:tc>
        <w:tc>
          <w:tcPr>
            <w:tcW w:w="3544" w:type="dxa"/>
            <w:tcBorders>
              <w:top w:val="double" w:sz="6" w:space="0" w:color="auto"/>
              <w:left w:val="single" w:sz="6" w:space="0" w:color="auto"/>
              <w:bottom w:val="single" w:sz="6" w:space="0" w:color="auto"/>
              <w:right w:val="single" w:sz="6" w:space="0" w:color="auto"/>
            </w:tcBorders>
            <w:hideMark/>
          </w:tcPr>
          <w:p w:rsidR="00C20528" w:rsidRDefault="00C20528">
            <w:pPr>
              <w:pStyle w:val="TableText"/>
            </w:pPr>
            <w:r>
              <w:t>First electronic manual issue</w:t>
            </w:r>
          </w:p>
        </w:tc>
        <w:tc>
          <w:tcPr>
            <w:tcW w:w="1002" w:type="dxa"/>
            <w:tcBorders>
              <w:top w:val="double" w:sz="6" w:space="0" w:color="auto"/>
              <w:left w:val="single" w:sz="6" w:space="0" w:color="auto"/>
              <w:bottom w:val="single" w:sz="6" w:space="0" w:color="auto"/>
              <w:right w:val="double" w:sz="6" w:space="0" w:color="auto"/>
            </w:tcBorders>
            <w:hideMark/>
          </w:tcPr>
          <w:p w:rsidR="00C20528" w:rsidRDefault="00C20528">
            <w:pPr>
              <w:pStyle w:val="TableText"/>
            </w:pPr>
            <w:r>
              <w:t>PAB</w:t>
            </w: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1C1176">
            <w:pPr>
              <w:pStyle w:val="TableText"/>
            </w:pPr>
            <w:r>
              <w:t>B</w:t>
            </w:r>
          </w:p>
        </w:tc>
        <w:tc>
          <w:tcPr>
            <w:tcW w:w="1134" w:type="dxa"/>
            <w:tcBorders>
              <w:top w:val="single" w:sz="6" w:space="0" w:color="auto"/>
              <w:left w:val="single" w:sz="6" w:space="0" w:color="auto"/>
              <w:bottom w:val="single" w:sz="6" w:space="0" w:color="auto"/>
              <w:right w:val="single" w:sz="6" w:space="0" w:color="auto"/>
            </w:tcBorders>
          </w:tcPr>
          <w:p w:rsidR="00C20528" w:rsidRDefault="001C1176">
            <w:pPr>
              <w:pStyle w:val="TableText"/>
            </w:pPr>
            <w:r>
              <w:t>31/01/2011</w:t>
            </w:r>
          </w:p>
        </w:tc>
        <w:tc>
          <w:tcPr>
            <w:tcW w:w="3544" w:type="dxa"/>
            <w:tcBorders>
              <w:top w:val="single" w:sz="6" w:space="0" w:color="auto"/>
              <w:left w:val="single" w:sz="6" w:space="0" w:color="auto"/>
              <w:bottom w:val="single" w:sz="6" w:space="0" w:color="auto"/>
              <w:right w:val="single" w:sz="6" w:space="0" w:color="auto"/>
            </w:tcBorders>
          </w:tcPr>
          <w:p w:rsidR="00C20528" w:rsidRDefault="001C1176">
            <w:pPr>
              <w:pStyle w:val="TableText"/>
            </w:pPr>
            <w:r>
              <w:t>Redrafted policy</w:t>
            </w:r>
          </w:p>
        </w:tc>
        <w:tc>
          <w:tcPr>
            <w:tcW w:w="1002" w:type="dxa"/>
            <w:tcBorders>
              <w:top w:val="single" w:sz="6" w:space="0" w:color="auto"/>
              <w:left w:val="single" w:sz="6" w:space="0" w:color="auto"/>
              <w:bottom w:val="single" w:sz="6" w:space="0" w:color="auto"/>
              <w:right w:val="double" w:sz="6" w:space="0" w:color="auto"/>
            </w:tcBorders>
          </w:tcPr>
          <w:p w:rsidR="00C20528" w:rsidRDefault="001C1176">
            <w:pPr>
              <w:pStyle w:val="TableText"/>
            </w:pPr>
            <w:r>
              <w:t>KW</w:t>
            </w: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0515A8">
            <w:pPr>
              <w:pStyle w:val="TableText"/>
            </w:pPr>
            <w:r>
              <w:t>C</w:t>
            </w:r>
          </w:p>
        </w:tc>
        <w:tc>
          <w:tcPr>
            <w:tcW w:w="1134" w:type="dxa"/>
            <w:tcBorders>
              <w:top w:val="single" w:sz="6" w:space="0" w:color="auto"/>
              <w:left w:val="single" w:sz="6" w:space="0" w:color="auto"/>
              <w:bottom w:val="single" w:sz="6" w:space="0" w:color="auto"/>
              <w:right w:val="single" w:sz="6" w:space="0" w:color="auto"/>
            </w:tcBorders>
          </w:tcPr>
          <w:p w:rsidR="00C20528" w:rsidRDefault="000515A8">
            <w:pPr>
              <w:pStyle w:val="TableText"/>
            </w:pPr>
            <w:r>
              <w:t>5/05/2011</w:t>
            </w:r>
          </w:p>
        </w:tc>
        <w:tc>
          <w:tcPr>
            <w:tcW w:w="3544" w:type="dxa"/>
            <w:tcBorders>
              <w:top w:val="single" w:sz="6" w:space="0" w:color="auto"/>
              <w:left w:val="single" w:sz="6" w:space="0" w:color="auto"/>
              <w:bottom w:val="single" w:sz="6" w:space="0" w:color="auto"/>
              <w:right w:val="single" w:sz="6" w:space="0" w:color="auto"/>
            </w:tcBorders>
          </w:tcPr>
          <w:p w:rsidR="00C20528" w:rsidRDefault="000515A8">
            <w:pPr>
              <w:pStyle w:val="TableText"/>
            </w:pPr>
            <w:r>
              <w:t>Redraft simplified policy includes cooling</w:t>
            </w:r>
          </w:p>
        </w:tc>
        <w:tc>
          <w:tcPr>
            <w:tcW w:w="1002" w:type="dxa"/>
            <w:tcBorders>
              <w:top w:val="single" w:sz="6" w:space="0" w:color="auto"/>
              <w:left w:val="single" w:sz="6" w:space="0" w:color="auto"/>
              <w:bottom w:val="single" w:sz="6" w:space="0" w:color="auto"/>
              <w:right w:val="double" w:sz="6" w:space="0" w:color="auto"/>
            </w:tcBorders>
          </w:tcPr>
          <w:p w:rsidR="00C20528" w:rsidRDefault="000515A8">
            <w:pPr>
              <w:pStyle w:val="TableText"/>
            </w:pPr>
            <w:r>
              <w:t>KW</w:t>
            </w: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FB7F09">
            <w:pPr>
              <w:pStyle w:val="TableText"/>
            </w:pPr>
            <w:r>
              <w:t>D</w:t>
            </w:r>
          </w:p>
        </w:tc>
        <w:tc>
          <w:tcPr>
            <w:tcW w:w="1134" w:type="dxa"/>
            <w:tcBorders>
              <w:top w:val="single" w:sz="6" w:space="0" w:color="auto"/>
              <w:left w:val="single" w:sz="6" w:space="0" w:color="auto"/>
              <w:bottom w:val="single" w:sz="6" w:space="0" w:color="auto"/>
              <w:right w:val="single" w:sz="6" w:space="0" w:color="auto"/>
            </w:tcBorders>
          </w:tcPr>
          <w:p w:rsidR="00C20528" w:rsidRDefault="00FB7F09">
            <w:pPr>
              <w:pStyle w:val="TableText"/>
            </w:pPr>
            <w:r>
              <w:t>07/06/2011</w:t>
            </w:r>
          </w:p>
        </w:tc>
        <w:tc>
          <w:tcPr>
            <w:tcW w:w="3544" w:type="dxa"/>
            <w:tcBorders>
              <w:top w:val="single" w:sz="6" w:space="0" w:color="auto"/>
              <w:left w:val="single" w:sz="6" w:space="0" w:color="auto"/>
              <w:bottom w:val="single" w:sz="6" w:space="0" w:color="auto"/>
              <w:right w:val="single" w:sz="6" w:space="0" w:color="auto"/>
            </w:tcBorders>
          </w:tcPr>
          <w:p w:rsidR="00C20528" w:rsidRDefault="00FB7F09">
            <w:pPr>
              <w:pStyle w:val="TableText"/>
            </w:pPr>
            <w:r>
              <w:t xml:space="preserve">Minor amendments to heating </w:t>
            </w:r>
            <w:r w:rsidR="00C5082A">
              <w:t xml:space="preserve">/ cooling </w:t>
            </w:r>
            <w:r>
              <w:t>criteria</w:t>
            </w:r>
          </w:p>
        </w:tc>
        <w:tc>
          <w:tcPr>
            <w:tcW w:w="1002" w:type="dxa"/>
            <w:tcBorders>
              <w:top w:val="single" w:sz="6" w:space="0" w:color="auto"/>
              <w:left w:val="single" w:sz="6" w:space="0" w:color="auto"/>
              <w:bottom w:val="single" w:sz="6" w:space="0" w:color="auto"/>
              <w:right w:val="double" w:sz="6" w:space="0" w:color="auto"/>
            </w:tcBorders>
          </w:tcPr>
          <w:p w:rsidR="00C20528" w:rsidRDefault="00FB7F09">
            <w:pPr>
              <w:pStyle w:val="TableText"/>
            </w:pPr>
            <w:r>
              <w:t>RH</w:t>
            </w: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single" w:sz="6" w:space="0" w:color="auto"/>
              <w:right w:val="double" w:sz="6" w:space="0" w:color="auto"/>
            </w:tcBorders>
          </w:tcPr>
          <w:p w:rsidR="00C20528" w:rsidRDefault="00C20528">
            <w:pPr>
              <w:pStyle w:val="TableText"/>
            </w:pP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single" w:sz="6" w:space="0" w:color="auto"/>
              <w:right w:val="double" w:sz="6" w:space="0" w:color="auto"/>
            </w:tcBorders>
          </w:tcPr>
          <w:p w:rsidR="00C20528" w:rsidRDefault="00C20528">
            <w:pPr>
              <w:pStyle w:val="TableText"/>
            </w:pP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single" w:sz="6" w:space="0" w:color="auto"/>
              <w:right w:val="double" w:sz="6" w:space="0" w:color="auto"/>
            </w:tcBorders>
          </w:tcPr>
          <w:p w:rsidR="00C20528" w:rsidRDefault="00C20528">
            <w:pPr>
              <w:pStyle w:val="TableText"/>
            </w:pP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single" w:sz="6" w:space="0" w:color="auto"/>
              <w:right w:val="double" w:sz="6" w:space="0" w:color="auto"/>
            </w:tcBorders>
          </w:tcPr>
          <w:p w:rsidR="00C20528" w:rsidRDefault="00C20528">
            <w:pPr>
              <w:pStyle w:val="TableText"/>
            </w:pPr>
          </w:p>
        </w:tc>
      </w:tr>
      <w:tr w:rsidR="00C20528" w:rsidTr="00C20528">
        <w:tc>
          <w:tcPr>
            <w:tcW w:w="829" w:type="dxa"/>
            <w:tcBorders>
              <w:top w:val="single" w:sz="6" w:space="0" w:color="auto"/>
              <w:left w:val="double" w:sz="6" w:space="0" w:color="auto"/>
              <w:bottom w:val="sing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sing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single" w:sz="6" w:space="0" w:color="auto"/>
              <w:right w:val="double" w:sz="6" w:space="0" w:color="auto"/>
            </w:tcBorders>
          </w:tcPr>
          <w:p w:rsidR="00C20528" w:rsidRDefault="00C20528">
            <w:pPr>
              <w:pStyle w:val="TableText"/>
            </w:pPr>
          </w:p>
        </w:tc>
      </w:tr>
      <w:tr w:rsidR="00C20528" w:rsidTr="00C20528">
        <w:tc>
          <w:tcPr>
            <w:tcW w:w="829" w:type="dxa"/>
            <w:tcBorders>
              <w:top w:val="single" w:sz="6" w:space="0" w:color="auto"/>
              <w:left w:val="double" w:sz="6" w:space="0" w:color="auto"/>
              <w:bottom w:val="double" w:sz="6" w:space="0" w:color="auto"/>
              <w:right w:val="single" w:sz="6" w:space="0" w:color="auto"/>
            </w:tcBorders>
          </w:tcPr>
          <w:p w:rsidR="00C20528" w:rsidRDefault="00C20528">
            <w:pPr>
              <w:pStyle w:val="TableText"/>
            </w:pPr>
          </w:p>
        </w:tc>
        <w:tc>
          <w:tcPr>
            <w:tcW w:w="1134" w:type="dxa"/>
            <w:tcBorders>
              <w:top w:val="single" w:sz="6" w:space="0" w:color="auto"/>
              <w:left w:val="single" w:sz="6" w:space="0" w:color="auto"/>
              <w:bottom w:val="double" w:sz="6" w:space="0" w:color="auto"/>
              <w:right w:val="single" w:sz="6" w:space="0" w:color="auto"/>
            </w:tcBorders>
          </w:tcPr>
          <w:p w:rsidR="00C20528" w:rsidRDefault="00C20528">
            <w:pPr>
              <w:pStyle w:val="TableText"/>
            </w:pPr>
          </w:p>
        </w:tc>
        <w:tc>
          <w:tcPr>
            <w:tcW w:w="3544" w:type="dxa"/>
            <w:tcBorders>
              <w:top w:val="single" w:sz="6" w:space="0" w:color="auto"/>
              <w:left w:val="single" w:sz="6" w:space="0" w:color="auto"/>
              <w:bottom w:val="double" w:sz="6" w:space="0" w:color="auto"/>
              <w:right w:val="single" w:sz="6" w:space="0" w:color="auto"/>
            </w:tcBorders>
          </w:tcPr>
          <w:p w:rsidR="00C20528" w:rsidRDefault="00C20528">
            <w:pPr>
              <w:pStyle w:val="TableText"/>
            </w:pPr>
          </w:p>
        </w:tc>
        <w:tc>
          <w:tcPr>
            <w:tcW w:w="1002" w:type="dxa"/>
            <w:tcBorders>
              <w:top w:val="single" w:sz="6" w:space="0" w:color="auto"/>
              <w:left w:val="single" w:sz="6" w:space="0" w:color="auto"/>
              <w:bottom w:val="double" w:sz="6" w:space="0" w:color="auto"/>
              <w:right w:val="double" w:sz="6" w:space="0" w:color="auto"/>
            </w:tcBorders>
          </w:tcPr>
          <w:p w:rsidR="00C20528" w:rsidRDefault="00C20528">
            <w:pPr>
              <w:pStyle w:val="TableText"/>
            </w:pPr>
          </w:p>
        </w:tc>
      </w:tr>
    </w:tbl>
    <w:p w:rsidR="00C20528" w:rsidRDefault="00C20528" w:rsidP="00C20528">
      <w:pPr>
        <w:pStyle w:val="BodyText"/>
      </w:pPr>
    </w:p>
    <w:p w:rsidR="00C20528" w:rsidRPr="00C757DA" w:rsidRDefault="00C20528" w:rsidP="00C757DA">
      <w:pPr>
        <w:pStyle w:val="BodyText"/>
        <w:rPr>
          <w:lang w:val="en-GB"/>
        </w:rPr>
      </w:pPr>
    </w:p>
    <w:p w:rsidR="00C757DA" w:rsidRPr="00C757DA" w:rsidRDefault="00C757DA" w:rsidP="00C757DA">
      <w:pPr>
        <w:pStyle w:val="BodyText"/>
        <w:rPr>
          <w:lang w:val="en-GB"/>
        </w:rPr>
      </w:pPr>
    </w:p>
    <w:p w:rsidR="00C757DA" w:rsidRPr="00C757DA" w:rsidRDefault="00C757DA" w:rsidP="00C757DA">
      <w:pPr>
        <w:autoSpaceDE w:val="0"/>
        <w:autoSpaceDN w:val="0"/>
        <w:adjustRightInd w:val="0"/>
        <w:rPr>
          <w:rFonts w:ascii="BAJMHM+PalatinoLinotype" w:hAnsi="BAJMHM+PalatinoLinotype" w:cs="BAJMHM+PalatinoLinotype"/>
          <w:color w:val="000000"/>
          <w:sz w:val="23"/>
          <w:szCs w:val="23"/>
          <w:lang w:val="en-GB"/>
        </w:rPr>
      </w:pPr>
    </w:p>
    <w:sectPr w:rsidR="00C757DA" w:rsidRPr="00C757DA" w:rsidSect="00230165">
      <w:footerReference w:type="default" r:id="rId8"/>
      <w:type w:val="oddPage"/>
      <w:pgSz w:w="11909" w:h="16834" w:code="9"/>
      <w:pgMar w:top="1440" w:right="1080" w:bottom="1440" w:left="1440" w:header="50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C00" w:rsidRDefault="005C6C00">
      <w:r>
        <w:separator/>
      </w:r>
    </w:p>
  </w:endnote>
  <w:endnote w:type="continuationSeparator" w:id="0">
    <w:p w:rsidR="005C6C00" w:rsidRDefault="005C6C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AJMCM+PalatinoLinotype">
    <w:altName w:val="Palatino"/>
    <w:panose1 w:val="00000000000000000000"/>
    <w:charset w:val="00"/>
    <w:family w:val="roman"/>
    <w:notTrueType/>
    <w:pitch w:val="default"/>
    <w:sig w:usb0="00000003" w:usb1="00000000" w:usb2="00000000" w:usb3="00000000" w:csb0="00000001" w:csb1="00000000"/>
  </w:font>
  <w:font w:name="BAJMHM+PalatinoLinotype">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D" w:rsidRDefault="005A79FE">
    <w:pPr>
      <w:pStyle w:val="Footer"/>
    </w:pPr>
    <w:fldSimple w:instr="TITLE">
      <w:r w:rsidR="006E733C">
        <w:t>Doc-To-Help Standard Template</w:t>
      </w:r>
    </w:fldSimple>
    <w:r w:rsidR="002A265D">
      <w:ptab w:relativeTo="margin" w:alignment="right" w:leader="none"/>
    </w:r>
    <w:fldSimple w:instr="STYLEREF &quot;1&quot;">
      <w:r w:rsidR="00703E49">
        <w:rPr>
          <w:noProof/>
        </w:rPr>
        <w:t>Heating &amp; Cooling Policy</w:t>
      </w:r>
    </w:fldSimple>
    <w:r w:rsidR="002A265D">
      <w:t xml:space="preserve">  </w:t>
    </w:r>
    <w:r>
      <w:fldChar w:fldCharType="begin"/>
    </w:r>
    <w:r w:rsidR="002A265D">
      <w:instrText>SYMBOL 183 \f "Symbol"</w:instrText>
    </w:r>
    <w:r>
      <w:fldChar w:fldCharType="end"/>
    </w:r>
    <w:r w:rsidR="002A265D">
      <w:t xml:space="preserve">  </w:t>
    </w:r>
    <w:fldSimple w:instr="PAGE">
      <w:r w:rsidR="00703E4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C00" w:rsidRDefault="005C6C00">
      <w:r>
        <w:separator/>
      </w:r>
    </w:p>
  </w:footnote>
  <w:footnote w:type="continuationSeparator" w:id="0">
    <w:p w:rsidR="005C6C00" w:rsidRDefault="005C6C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D27E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D12A7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B0EE8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9499D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08F69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0CC0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9DA43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072D7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384EA8"/>
    <w:lvl w:ilvl="0">
      <w:start w:val="1"/>
      <w:numFmt w:val="decimal"/>
      <w:pStyle w:val="ListNumber"/>
      <w:lvlText w:val="%1."/>
      <w:lvlJc w:val="left"/>
      <w:pPr>
        <w:tabs>
          <w:tab w:val="num" w:pos="360"/>
        </w:tabs>
        <w:ind w:left="360" w:hanging="360"/>
      </w:pPr>
    </w:lvl>
  </w:abstractNum>
  <w:abstractNum w:abstractNumId="9">
    <w:nsid w:val="FFFFFF89"/>
    <w:multiLevelType w:val="singleLevel"/>
    <w:tmpl w:val="BE0682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E324C"/>
    <w:multiLevelType w:val="singleLevel"/>
    <w:tmpl w:val="6EAE652E"/>
    <w:lvl w:ilvl="0">
      <w:start w:val="1"/>
      <w:numFmt w:val="decimal"/>
      <w:lvlText w:val="%1."/>
      <w:lvlJc w:val="left"/>
      <w:pPr>
        <w:tabs>
          <w:tab w:val="num" w:pos="360"/>
        </w:tabs>
        <w:ind w:left="360" w:hanging="360"/>
      </w:pPr>
    </w:lvl>
  </w:abstractNum>
  <w:abstractNum w:abstractNumId="11">
    <w:nsid w:val="09785F0C"/>
    <w:multiLevelType w:val="hybridMultilevel"/>
    <w:tmpl w:val="C02E228A"/>
    <w:lvl w:ilvl="0" w:tplc="08090017">
      <w:start w:val="1"/>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2">
    <w:nsid w:val="0DD550C5"/>
    <w:multiLevelType w:val="singleLevel"/>
    <w:tmpl w:val="E550ED7C"/>
    <w:name w:val="C1H Number"/>
    <w:lvl w:ilvl="0">
      <w:start w:val="1"/>
      <w:numFmt w:val="decimal"/>
      <w:lvlRestart w:val="0"/>
      <w:pStyle w:val="C1HNumber"/>
      <w:lvlText w:val="%1."/>
      <w:lvlJc w:val="left"/>
      <w:pPr>
        <w:tabs>
          <w:tab w:val="num" w:pos="3960"/>
        </w:tabs>
        <w:ind w:left="3960" w:hanging="360"/>
      </w:pPr>
    </w:lvl>
  </w:abstractNum>
  <w:abstractNum w:abstractNumId="13">
    <w:nsid w:val="10E43D0B"/>
    <w:multiLevelType w:val="singleLevel"/>
    <w:tmpl w:val="964C7954"/>
    <w:lvl w:ilvl="0">
      <w:start w:val="1"/>
      <w:numFmt w:val="bullet"/>
      <w:lvlText w:val=""/>
      <w:lvlJc w:val="left"/>
      <w:pPr>
        <w:tabs>
          <w:tab w:val="num" w:pos="360"/>
        </w:tabs>
        <w:ind w:left="360" w:hanging="360"/>
      </w:pPr>
      <w:rPr>
        <w:rFonts w:ascii="Symbol" w:hAnsi="Symbol" w:hint="default"/>
      </w:rPr>
    </w:lvl>
  </w:abstractNum>
  <w:abstractNum w:abstractNumId="14">
    <w:nsid w:val="125C7EB3"/>
    <w:multiLevelType w:val="singleLevel"/>
    <w:tmpl w:val="E0CA256A"/>
    <w:lvl w:ilvl="0">
      <w:start w:val="1"/>
      <w:numFmt w:val="decimal"/>
      <w:lvlText w:val="%1."/>
      <w:lvlJc w:val="left"/>
      <w:pPr>
        <w:tabs>
          <w:tab w:val="num" w:pos="360"/>
        </w:tabs>
        <w:ind w:left="360" w:hanging="360"/>
      </w:pPr>
    </w:lvl>
  </w:abstractNum>
  <w:abstractNum w:abstractNumId="15">
    <w:nsid w:val="17CA586B"/>
    <w:multiLevelType w:val="singleLevel"/>
    <w:tmpl w:val="1312EF2C"/>
    <w:lvl w:ilvl="0">
      <w:start w:val="1"/>
      <w:numFmt w:val="decimal"/>
      <w:lvlText w:val="%1."/>
      <w:lvlJc w:val="left"/>
      <w:pPr>
        <w:tabs>
          <w:tab w:val="num" w:pos="360"/>
        </w:tabs>
        <w:ind w:left="360" w:hanging="360"/>
      </w:pPr>
    </w:lvl>
  </w:abstractNum>
  <w:abstractNum w:abstractNumId="16">
    <w:nsid w:val="17FB27DF"/>
    <w:multiLevelType w:val="singleLevel"/>
    <w:tmpl w:val="974CAC82"/>
    <w:lvl w:ilvl="0">
      <w:start w:val="1"/>
      <w:numFmt w:val="bullet"/>
      <w:lvlText w:val=""/>
      <w:lvlJc w:val="left"/>
      <w:pPr>
        <w:tabs>
          <w:tab w:val="num" w:pos="360"/>
        </w:tabs>
        <w:ind w:left="360" w:hanging="360"/>
      </w:pPr>
      <w:rPr>
        <w:rFonts w:ascii="Symbol" w:hAnsi="Symbol" w:hint="default"/>
      </w:rPr>
    </w:lvl>
  </w:abstractNum>
  <w:abstractNum w:abstractNumId="17">
    <w:nsid w:val="1B9C595F"/>
    <w:multiLevelType w:val="singleLevel"/>
    <w:tmpl w:val="DDACCC9C"/>
    <w:lvl w:ilvl="0">
      <w:start w:val="1"/>
      <w:numFmt w:val="bullet"/>
      <w:lvlText w:val=""/>
      <w:lvlJc w:val="left"/>
      <w:pPr>
        <w:tabs>
          <w:tab w:val="num" w:pos="360"/>
        </w:tabs>
        <w:ind w:left="360" w:hanging="360"/>
      </w:pPr>
      <w:rPr>
        <w:rFonts w:ascii="Symbol" w:hAnsi="Symbol" w:hint="default"/>
      </w:rPr>
    </w:lvl>
  </w:abstractNum>
  <w:abstractNum w:abstractNumId="18">
    <w:nsid w:val="265F46E0"/>
    <w:multiLevelType w:val="hybridMultilevel"/>
    <w:tmpl w:val="B1F456DE"/>
    <w:lvl w:ilvl="0" w:tplc="FF7272F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nsid w:val="2A123BA8"/>
    <w:multiLevelType w:val="singleLevel"/>
    <w:tmpl w:val="E79E1A9C"/>
    <w:name w:val="C1H Number 2"/>
    <w:lvl w:ilvl="0">
      <w:start w:val="1"/>
      <w:numFmt w:val="decimal"/>
      <w:lvlRestart w:val="0"/>
      <w:pStyle w:val="C1HNumber2"/>
      <w:lvlText w:val="%1."/>
      <w:lvlJc w:val="left"/>
      <w:pPr>
        <w:tabs>
          <w:tab w:val="num" w:pos="4320"/>
        </w:tabs>
        <w:ind w:left="4320" w:hanging="360"/>
      </w:pPr>
    </w:lvl>
  </w:abstractNum>
  <w:abstractNum w:abstractNumId="20">
    <w:nsid w:val="2A390C40"/>
    <w:multiLevelType w:val="singleLevel"/>
    <w:tmpl w:val="2604ABB2"/>
    <w:lvl w:ilvl="0">
      <w:start w:val="1"/>
      <w:numFmt w:val="decimal"/>
      <w:lvlText w:val="%1."/>
      <w:lvlJc w:val="left"/>
      <w:pPr>
        <w:tabs>
          <w:tab w:val="num" w:pos="360"/>
        </w:tabs>
        <w:ind w:left="360" w:hanging="360"/>
      </w:pPr>
    </w:lvl>
  </w:abstractNum>
  <w:abstractNum w:abstractNumId="21">
    <w:nsid w:val="2EDC689C"/>
    <w:multiLevelType w:val="singleLevel"/>
    <w:tmpl w:val="178E186A"/>
    <w:lvl w:ilvl="0">
      <w:start w:val="1"/>
      <w:numFmt w:val="decimal"/>
      <w:lvlText w:val="%1."/>
      <w:lvlJc w:val="left"/>
      <w:pPr>
        <w:tabs>
          <w:tab w:val="num" w:pos="360"/>
        </w:tabs>
        <w:ind w:left="360" w:hanging="360"/>
      </w:pPr>
    </w:lvl>
  </w:abstractNum>
  <w:abstractNum w:abstractNumId="22">
    <w:nsid w:val="2FB15B34"/>
    <w:multiLevelType w:val="singleLevel"/>
    <w:tmpl w:val="7356191E"/>
    <w:lvl w:ilvl="0">
      <w:start w:val="1"/>
      <w:numFmt w:val="decimal"/>
      <w:lvlText w:val="%1."/>
      <w:lvlJc w:val="left"/>
      <w:pPr>
        <w:tabs>
          <w:tab w:val="num" w:pos="720"/>
        </w:tabs>
        <w:ind w:left="720" w:hanging="360"/>
      </w:pPr>
    </w:lvl>
  </w:abstractNum>
  <w:abstractNum w:abstractNumId="23">
    <w:nsid w:val="3C0131D4"/>
    <w:multiLevelType w:val="singleLevel"/>
    <w:tmpl w:val="096CF1A2"/>
    <w:lvl w:ilvl="0">
      <w:start w:val="1"/>
      <w:numFmt w:val="bullet"/>
      <w:lvlText w:val=""/>
      <w:lvlJc w:val="left"/>
      <w:pPr>
        <w:tabs>
          <w:tab w:val="num" w:pos="360"/>
        </w:tabs>
        <w:ind w:left="360" w:hanging="360"/>
      </w:pPr>
      <w:rPr>
        <w:rFonts w:ascii="Symbol" w:hAnsi="Symbol" w:hint="default"/>
      </w:rPr>
    </w:lvl>
  </w:abstractNum>
  <w:abstractNum w:abstractNumId="24">
    <w:nsid w:val="43B3723C"/>
    <w:multiLevelType w:val="singleLevel"/>
    <w:tmpl w:val="84645570"/>
    <w:name w:val="C1H Bullet 2A"/>
    <w:lvl w:ilvl="0">
      <w:start w:val="1"/>
      <w:numFmt w:val="bullet"/>
      <w:lvlRestart w:val="0"/>
      <w:pStyle w:val="C1HBullet2A"/>
      <w:lvlText w:val="o"/>
      <w:lvlJc w:val="left"/>
      <w:pPr>
        <w:tabs>
          <w:tab w:val="num" w:pos="4320"/>
        </w:tabs>
        <w:ind w:left="4320" w:hanging="360"/>
      </w:pPr>
      <w:rPr>
        <w:rFonts w:ascii="Courier New" w:hAnsi="Courier New"/>
      </w:rPr>
    </w:lvl>
  </w:abstractNum>
  <w:abstractNum w:abstractNumId="25">
    <w:nsid w:val="47E4411A"/>
    <w:multiLevelType w:val="singleLevel"/>
    <w:tmpl w:val="B65EB6DE"/>
    <w:lvl w:ilvl="0">
      <w:start w:val="1"/>
      <w:numFmt w:val="bullet"/>
      <w:lvlText w:val=""/>
      <w:lvlJc w:val="left"/>
      <w:pPr>
        <w:tabs>
          <w:tab w:val="num" w:pos="720"/>
        </w:tabs>
        <w:ind w:left="720" w:hanging="360"/>
      </w:pPr>
      <w:rPr>
        <w:rFonts w:ascii="Symbol" w:hAnsi="Symbol" w:hint="default"/>
      </w:rPr>
    </w:lvl>
  </w:abstractNum>
  <w:abstractNum w:abstractNumId="26">
    <w:nsid w:val="4AE02D1F"/>
    <w:multiLevelType w:val="singleLevel"/>
    <w:tmpl w:val="53EA9CA8"/>
    <w:name w:val="C1H Bullet 2"/>
    <w:lvl w:ilvl="0">
      <w:start w:val="1"/>
      <w:numFmt w:val="bullet"/>
      <w:lvlRestart w:val="0"/>
      <w:pStyle w:val="C1HBullet2"/>
      <w:lvlText w:val=""/>
      <w:lvlJc w:val="left"/>
      <w:pPr>
        <w:tabs>
          <w:tab w:val="num" w:pos="4320"/>
        </w:tabs>
        <w:ind w:left="4320" w:hanging="360"/>
      </w:pPr>
      <w:rPr>
        <w:rFonts w:ascii="Symbol" w:hAnsi="Symbol" w:hint="default"/>
      </w:rPr>
    </w:lvl>
  </w:abstractNum>
  <w:abstractNum w:abstractNumId="27">
    <w:nsid w:val="4F0C3CF3"/>
    <w:multiLevelType w:val="hybridMultilevel"/>
    <w:tmpl w:val="5E820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BC0A87"/>
    <w:multiLevelType w:val="hybridMultilevel"/>
    <w:tmpl w:val="6BC25784"/>
    <w:lvl w:ilvl="0" w:tplc="C6C63C52">
      <w:start w:val="8210"/>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D61650"/>
    <w:multiLevelType w:val="hybridMultilevel"/>
    <w:tmpl w:val="C02E2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4E37797"/>
    <w:multiLevelType w:val="singleLevel"/>
    <w:tmpl w:val="4DBA6B52"/>
    <w:name w:val="C1H Bullet"/>
    <w:lvl w:ilvl="0">
      <w:start w:val="1"/>
      <w:numFmt w:val="bullet"/>
      <w:lvlRestart w:val="0"/>
      <w:pStyle w:val="C1HBullet"/>
      <w:lvlText w:val=""/>
      <w:lvlJc w:val="left"/>
      <w:pPr>
        <w:tabs>
          <w:tab w:val="num" w:pos="3960"/>
        </w:tabs>
        <w:ind w:left="3960" w:hanging="360"/>
      </w:pPr>
      <w:rPr>
        <w:rFonts w:ascii="Symbol" w:hAnsi="Symbol" w:hint="default"/>
      </w:rPr>
    </w:lvl>
  </w:abstractNum>
  <w:num w:numId="1">
    <w:abstractNumId w:val="9"/>
  </w:num>
  <w:num w:numId="2">
    <w:abstractNumId w:val="16"/>
  </w:num>
  <w:num w:numId="3">
    <w:abstractNumId w:val="7"/>
  </w:num>
  <w:num w:numId="4">
    <w:abstractNumId w:val="25"/>
  </w:num>
  <w:num w:numId="5">
    <w:abstractNumId w:val="23"/>
  </w:num>
  <w:num w:numId="6">
    <w:abstractNumId w:val="13"/>
  </w:num>
  <w:num w:numId="7">
    <w:abstractNumId w:val="8"/>
  </w:num>
  <w:num w:numId="8">
    <w:abstractNumId w:val="14"/>
  </w:num>
  <w:num w:numId="9">
    <w:abstractNumId w:val="3"/>
  </w:num>
  <w:num w:numId="10">
    <w:abstractNumId w:val="22"/>
  </w:num>
  <w:num w:numId="11">
    <w:abstractNumId w:val="15"/>
  </w:num>
  <w:num w:numId="12">
    <w:abstractNumId w:val="21"/>
  </w:num>
  <w:num w:numId="13">
    <w:abstractNumId w:val="17"/>
  </w:num>
  <w:num w:numId="14">
    <w:abstractNumId w:val="17"/>
  </w:num>
  <w:num w:numId="15">
    <w:abstractNumId w:val="17"/>
  </w:num>
  <w:num w:numId="16">
    <w:abstractNumId w:val="10"/>
  </w:num>
  <w:num w:numId="17">
    <w:abstractNumId w:val="10"/>
  </w:num>
  <w:num w:numId="18">
    <w:abstractNumId w:val="10"/>
  </w:num>
  <w:num w:numId="19">
    <w:abstractNumId w:val="10"/>
  </w:num>
  <w:num w:numId="20">
    <w:abstractNumId w:val="10"/>
  </w:num>
  <w:num w:numId="21">
    <w:abstractNumId w:val="20"/>
  </w:num>
  <w:num w:numId="22">
    <w:abstractNumId w:val="9"/>
  </w:num>
  <w:num w:numId="23">
    <w:abstractNumId w:val="7"/>
  </w:num>
  <w:num w:numId="24">
    <w:abstractNumId w:val="8"/>
  </w:num>
  <w:num w:numId="25">
    <w:abstractNumId w:val="3"/>
  </w:num>
  <w:num w:numId="26">
    <w:abstractNumId w:val="30"/>
  </w:num>
  <w:num w:numId="27">
    <w:abstractNumId w:val="26"/>
  </w:num>
  <w:num w:numId="28">
    <w:abstractNumId w:val="24"/>
  </w:num>
  <w:num w:numId="29">
    <w:abstractNumId w:val="12"/>
  </w:num>
  <w:num w:numId="30">
    <w:abstractNumId w:val="19"/>
  </w:num>
  <w:num w:numId="31">
    <w:abstractNumId w:val="6"/>
  </w:num>
  <w:num w:numId="32">
    <w:abstractNumId w:val="5"/>
  </w:num>
  <w:num w:numId="33">
    <w:abstractNumId w:val="4"/>
  </w:num>
  <w:num w:numId="34">
    <w:abstractNumId w:val="2"/>
  </w:num>
  <w:num w:numId="35">
    <w:abstractNumId w:val="1"/>
  </w:num>
  <w:num w:numId="36">
    <w:abstractNumId w:val="0"/>
  </w:num>
  <w:num w:numId="37">
    <w:abstractNumId w:val="28"/>
  </w:num>
  <w:num w:numId="38">
    <w:abstractNumId w:val="11"/>
  </w:num>
  <w:num w:numId="39">
    <w:abstractNumId w:val="29"/>
  </w:num>
  <w:num w:numId="40">
    <w:abstractNumId w:val="27"/>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C1HByLine" w:val="By ComponentOne LLC"/>
    <w:docVar w:name="C1HProject" w:val="..\Procedures.d2h"/>
    <w:docVar w:name="C1HSuperTitle" w:val="Doc-To-Help"/>
    <w:docVar w:name="C1HTitle" w:val="Standard Template"/>
  </w:docVars>
  <w:rsids>
    <w:rsidRoot w:val="00C757DA"/>
    <w:rsid w:val="0001585F"/>
    <w:rsid w:val="00021008"/>
    <w:rsid w:val="000515A8"/>
    <w:rsid w:val="00110417"/>
    <w:rsid w:val="001C1176"/>
    <w:rsid w:val="001E388C"/>
    <w:rsid w:val="00230165"/>
    <w:rsid w:val="0023642C"/>
    <w:rsid w:val="0025441B"/>
    <w:rsid w:val="00273E91"/>
    <w:rsid w:val="00291C37"/>
    <w:rsid w:val="002A265D"/>
    <w:rsid w:val="002A7F36"/>
    <w:rsid w:val="002D3259"/>
    <w:rsid w:val="002D78C9"/>
    <w:rsid w:val="00355525"/>
    <w:rsid w:val="00356ED7"/>
    <w:rsid w:val="003F3BF8"/>
    <w:rsid w:val="00422980"/>
    <w:rsid w:val="00434A54"/>
    <w:rsid w:val="00512713"/>
    <w:rsid w:val="00566BCE"/>
    <w:rsid w:val="005958C5"/>
    <w:rsid w:val="005A79FE"/>
    <w:rsid w:val="005B45D9"/>
    <w:rsid w:val="005C6C00"/>
    <w:rsid w:val="006C6E39"/>
    <w:rsid w:val="006E733C"/>
    <w:rsid w:val="00703E49"/>
    <w:rsid w:val="00722B0F"/>
    <w:rsid w:val="00734387"/>
    <w:rsid w:val="007E5FB0"/>
    <w:rsid w:val="007E6351"/>
    <w:rsid w:val="00821E98"/>
    <w:rsid w:val="00851498"/>
    <w:rsid w:val="00854FDC"/>
    <w:rsid w:val="00884FBC"/>
    <w:rsid w:val="00894547"/>
    <w:rsid w:val="008D0D67"/>
    <w:rsid w:val="008F65BD"/>
    <w:rsid w:val="00935B93"/>
    <w:rsid w:val="009A642A"/>
    <w:rsid w:val="009D1D56"/>
    <w:rsid w:val="00A12824"/>
    <w:rsid w:val="00A55AEA"/>
    <w:rsid w:val="00A61435"/>
    <w:rsid w:val="00A67D3E"/>
    <w:rsid w:val="00AE3EF9"/>
    <w:rsid w:val="00B45327"/>
    <w:rsid w:val="00B4621E"/>
    <w:rsid w:val="00BE01D9"/>
    <w:rsid w:val="00BE5CBF"/>
    <w:rsid w:val="00C044E4"/>
    <w:rsid w:val="00C20528"/>
    <w:rsid w:val="00C20F06"/>
    <w:rsid w:val="00C45E08"/>
    <w:rsid w:val="00C5013C"/>
    <w:rsid w:val="00C5082A"/>
    <w:rsid w:val="00C520EC"/>
    <w:rsid w:val="00C62CB3"/>
    <w:rsid w:val="00C757DA"/>
    <w:rsid w:val="00C877AF"/>
    <w:rsid w:val="00CE0496"/>
    <w:rsid w:val="00CF4DBC"/>
    <w:rsid w:val="00E35DCF"/>
    <w:rsid w:val="00E4364C"/>
    <w:rsid w:val="00E54100"/>
    <w:rsid w:val="00E57862"/>
    <w:rsid w:val="00EE0604"/>
    <w:rsid w:val="00EE307D"/>
    <w:rsid w:val="00F055DD"/>
    <w:rsid w:val="00F32235"/>
    <w:rsid w:val="00F864A0"/>
    <w:rsid w:val="00F93C92"/>
    <w:rsid w:val="00FB7F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96"/>
  </w:style>
  <w:style w:type="paragraph" w:styleId="Heading1">
    <w:name w:val="heading 1"/>
    <w:basedOn w:val="HeadingBase"/>
    <w:next w:val="Heading2"/>
    <w:qFormat/>
    <w:rsid w:val="00854FDC"/>
    <w:pPr>
      <w:keepNext/>
      <w:numPr>
        <w:numId w:val="37"/>
      </w:numPr>
      <w:spacing w:before="962" w:after="1682"/>
      <w:outlineLvl w:val="0"/>
    </w:pPr>
    <w:rPr>
      <w:sz w:val="60"/>
    </w:rPr>
  </w:style>
  <w:style w:type="paragraph" w:styleId="Heading2">
    <w:name w:val="heading 2"/>
    <w:basedOn w:val="HeadingBase"/>
    <w:next w:val="BodyText"/>
    <w:link w:val="Heading2Char"/>
    <w:qFormat/>
    <w:rsid w:val="00CE0496"/>
    <w:pPr>
      <w:keepNext/>
      <w:pBdr>
        <w:top w:val="single" w:sz="6" w:space="1" w:color="auto"/>
      </w:pBdr>
      <w:spacing w:before="362" w:after="43"/>
      <w:outlineLvl w:val="1"/>
    </w:pPr>
    <w:rPr>
      <w:sz w:val="36"/>
    </w:rPr>
  </w:style>
  <w:style w:type="paragraph" w:styleId="Heading3">
    <w:name w:val="heading 3"/>
    <w:basedOn w:val="HeadingBase"/>
    <w:next w:val="BodyText"/>
    <w:qFormat/>
    <w:rsid w:val="00CE0496"/>
    <w:pPr>
      <w:keepNext/>
      <w:spacing w:before="340"/>
      <w:ind w:left="2880"/>
      <w:outlineLvl w:val="2"/>
    </w:pPr>
    <w:rPr>
      <w:sz w:val="28"/>
    </w:rPr>
  </w:style>
  <w:style w:type="paragraph" w:styleId="Heading4">
    <w:name w:val="heading 4"/>
    <w:basedOn w:val="HeadingBase"/>
    <w:next w:val="BodyText"/>
    <w:qFormat/>
    <w:rsid w:val="00CE0496"/>
    <w:pPr>
      <w:keepNext/>
      <w:spacing w:before="216" w:after="14"/>
      <w:ind w:left="2880"/>
      <w:outlineLvl w:val="3"/>
    </w:pPr>
    <w:rPr>
      <w:i/>
      <w:sz w:val="24"/>
    </w:rPr>
  </w:style>
  <w:style w:type="paragraph" w:styleId="Heading5">
    <w:name w:val="heading 5"/>
    <w:basedOn w:val="HeadingBase"/>
    <w:next w:val="Definition"/>
    <w:qFormat/>
    <w:rsid w:val="00CE0496"/>
    <w:pPr>
      <w:keepNext/>
      <w:spacing w:before="340"/>
      <w:ind w:left="2880"/>
      <w:outlineLvl w:val="4"/>
    </w:pPr>
    <w:rPr>
      <w:sz w:val="28"/>
    </w:rPr>
  </w:style>
  <w:style w:type="paragraph" w:styleId="Heading6">
    <w:name w:val="heading 6"/>
    <w:basedOn w:val="Normal"/>
    <w:next w:val="Normal"/>
    <w:qFormat/>
    <w:rsid w:val="00CE0496"/>
    <w:pPr>
      <w:spacing w:before="240" w:after="60"/>
      <w:ind w:left="288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rsid w:val="00CE0496"/>
    <w:rPr>
      <w:rFonts w:ascii="Arial" w:hAnsi="Arial"/>
      <w:b/>
    </w:rPr>
  </w:style>
  <w:style w:type="paragraph" w:styleId="BodyText">
    <w:name w:val="Body Text"/>
    <w:basedOn w:val="Normal"/>
    <w:link w:val="BodyTextChar"/>
    <w:rsid w:val="00CE0496"/>
    <w:pPr>
      <w:spacing w:before="115"/>
      <w:ind w:left="2880"/>
    </w:pPr>
  </w:style>
  <w:style w:type="paragraph" w:styleId="List">
    <w:name w:val="List"/>
    <w:basedOn w:val="BodyText"/>
    <w:rsid w:val="00CE0496"/>
    <w:pPr>
      <w:tabs>
        <w:tab w:val="left" w:pos="3960"/>
      </w:tabs>
      <w:ind w:left="3960" w:hanging="360"/>
    </w:pPr>
  </w:style>
  <w:style w:type="paragraph" w:customStyle="1" w:styleId="Definition">
    <w:name w:val="Definition"/>
    <w:basedOn w:val="BodyText"/>
    <w:rsid w:val="00CE0496"/>
  </w:style>
  <w:style w:type="paragraph" w:customStyle="1" w:styleId="BodyTextTable">
    <w:name w:val="Body Text Table"/>
    <w:basedOn w:val="BodyText"/>
    <w:rsid w:val="00CE0496"/>
    <w:pPr>
      <w:ind w:left="0"/>
    </w:pPr>
  </w:style>
  <w:style w:type="paragraph" w:customStyle="1" w:styleId="BodyTable">
    <w:name w:val="BodyTable"/>
    <w:basedOn w:val="Normal"/>
    <w:rsid w:val="00CE0496"/>
    <w:pPr>
      <w:spacing w:before="115"/>
    </w:pPr>
  </w:style>
  <w:style w:type="paragraph" w:styleId="Title">
    <w:name w:val="Title"/>
    <w:basedOn w:val="HeadingBase"/>
    <w:qFormat/>
    <w:rsid w:val="00CE0496"/>
    <w:pPr>
      <w:spacing w:before="242" w:after="722"/>
      <w:jc w:val="right"/>
    </w:pPr>
    <w:rPr>
      <w:sz w:val="72"/>
    </w:rPr>
  </w:style>
  <w:style w:type="paragraph" w:customStyle="1" w:styleId="ByLine">
    <w:name w:val="ByLine"/>
    <w:basedOn w:val="Title"/>
    <w:rsid w:val="00CE0496"/>
    <w:rPr>
      <w:sz w:val="28"/>
    </w:rPr>
  </w:style>
  <w:style w:type="paragraph" w:styleId="Caption">
    <w:name w:val="caption"/>
    <w:basedOn w:val="BodyText"/>
    <w:next w:val="BodyText"/>
    <w:qFormat/>
    <w:rsid w:val="00CE0496"/>
    <w:pPr>
      <w:tabs>
        <w:tab w:val="left" w:pos="3600"/>
        <w:tab w:val="left" w:pos="3960"/>
      </w:tabs>
      <w:spacing w:before="60" w:after="160"/>
    </w:pPr>
    <w:rPr>
      <w:i/>
      <w:sz w:val="18"/>
    </w:rPr>
  </w:style>
  <w:style w:type="paragraph" w:customStyle="1" w:styleId="CodeBase">
    <w:name w:val="Code Base"/>
    <w:basedOn w:val="BodyText"/>
    <w:rsid w:val="00CE0496"/>
    <w:rPr>
      <w:rFonts w:ascii="Courier New" w:hAnsi="Courier New"/>
    </w:rPr>
  </w:style>
  <w:style w:type="paragraph" w:customStyle="1" w:styleId="CodeExplained">
    <w:name w:val="CodeExplained"/>
    <w:basedOn w:val="CodeBase"/>
    <w:rsid w:val="00CE0496"/>
    <w:pPr>
      <w:spacing w:after="40"/>
      <w:ind w:left="3240"/>
    </w:pPr>
  </w:style>
  <w:style w:type="character" w:customStyle="1" w:styleId="D2HNoGloss">
    <w:name w:val="D2HNoGloss"/>
    <w:rsid w:val="00CE0496"/>
  </w:style>
  <w:style w:type="paragraph" w:customStyle="1" w:styleId="Figures">
    <w:name w:val="Figures"/>
    <w:basedOn w:val="BodyText"/>
    <w:next w:val="Caption"/>
    <w:rsid w:val="00CE0496"/>
    <w:pPr>
      <w:tabs>
        <w:tab w:val="left" w:pos="3600"/>
        <w:tab w:val="left" w:pos="3960"/>
      </w:tabs>
      <w:spacing w:before="140" w:after="60"/>
    </w:pPr>
  </w:style>
  <w:style w:type="paragraph" w:customStyle="1" w:styleId="FiguresTable">
    <w:name w:val="Figures Table"/>
    <w:basedOn w:val="Figures"/>
    <w:rsid w:val="00CE0496"/>
    <w:pPr>
      <w:ind w:left="720"/>
    </w:pPr>
  </w:style>
  <w:style w:type="paragraph" w:customStyle="1" w:styleId="HeaderBase">
    <w:name w:val="Header Base"/>
    <w:basedOn w:val="HeadingBase"/>
    <w:rsid w:val="00CE0496"/>
  </w:style>
  <w:style w:type="paragraph" w:styleId="Footer">
    <w:name w:val="footer"/>
    <w:basedOn w:val="HeaderBase"/>
    <w:rsid w:val="00CE0496"/>
    <w:pPr>
      <w:pBdr>
        <w:top w:val="single" w:sz="6" w:space="1" w:color="auto"/>
        <w:between w:val="single" w:sz="6" w:space="1" w:color="auto"/>
      </w:pBdr>
      <w:tabs>
        <w:tab w:val="right" w:pos="9720"/>
      </w:tabs>
    </w:pPr>
    <w:rPr>
      <w:sz w:val="18"/>
    </w:rPr>
  </w:style>
  <w:style w:type="paragraph" w:customStyle="1" w:styleId="footereven">
    <w:name w:val="footer even"/>
    <w:basedOn w:val="Footer"/>
    <w:rsid w:val="00CE0496"/>
  </w:style>
  <w:style w:type="paragraph" w:customStyle="1" w:styleId="footerodd">
    <w:name w:val="footer odd"/>
    <w:basedOn w:val="Footer"/>
    <w:rsid w:val="00CE0496"/>
  </w:style>
  <w:style w:type="paragraph" w:styleId="Header">
    <w:name w:val="header"/>
    <w:basedOn w:val="HeaderBase"/>
    <w:rsid w:val="00CE0496"/>
    <w:pPr>
      <w:tabs>
        <w:tab w:val="right" w:pos="9720"/>
      </w:tabs>
    </w:pPr>
    <w:rPr>
      <w:sz w:val="18"/>
    </w:rPr>
  </w:style>
  <w:style w:type="paragraph" w:customStyle="1" w:styleId="headereven">
    <w:name w:val="header even"/>
    <w:basedOn w:val="Header"/>
    <w:rsid w:val="00CE0496"/>
  </w:style>
  <w:style w:type="paragraph" w:customStyle="1" w:styleId="headerodd">
    <w:name w:val="header odd"/>
    <w:basedOn w:val="Header"/>
    <w:rsid w:val="00CE0496"/>
  </w:style>
  <w:style w:type="paragraph" w:customStyle="1" w:styleId="IndexBase">
    <w:name w:val="Index Base"/>
    <w:basedOn w:val="Normal"/>
    <w:rsid w:val="00CE0496"/>
  </w:style>
  <w:style w:type="paragraph" w:styleId="Index1">
    <w:name w:val="index 1"/>
    <w:basedOn w:val="IndexBase"/>
    <w:next w:val="Normal"/>
    <w:autoRedefine/>
    <w:semiHidden/>
    <w:rsid w:val="00CE0496"/>
    <w:pPr>
      <w:ind w:left="432" w:hanging="432"/>
    </w:pPr>
  </w:style>
  <w:style w:type="paragraph" w:styleId="Index2">
    <w:name w:val="index 2"/>
    <w:basedOn w:val="IndexBase"/>
    <w:next w:val="Normal"/>
    <w:autoRedefine/>
    <w:semiHidden/>
    <w:rsid w:val="00CE0496"/>
    <w:pPr>
      <w:ind w:left="432" w:hanging="288"/>
    </w:pPr>
  </w:style>
  <w:style w:type="paragraph" w:styleId="Index3">
    <w:name w:val="index 3"/>
    <w:basedOn w:val="IndexBase"/>
    <w:next w:val="Normal"/>
    <w:autoRedefine/>
    <w:semiHidden/>
    <w:rsid w:val="00CE0496"/>
    <w:pPr>
      <w:ind w:left="432" w:hanging="144"/>
    </w:pPr>
  </w:style>
  <w:style w:type="paragraph" w:styleId="IndexHeading">
    <w:name w:val="index heading"/>
    <w:basedOn w:val="HeadingBase"/>
    <w:next w:val="Index1"/>
    <w:semiHidden/>
    <w:rsid w:val="00CE0496"/>
    <w:pPr>
      <w:keepNext/>
      <w:spacing w:before="302" w:after="122"/>
    </w:pPr>
    <w:rPr>
      <w:sz w:val="22"/>
    </w:rPr>
  </w:style>
  <w:style w:type="paragraph" w:customStyle="1" w:styleId="Jump">
    <w:name w:val="Jump"/>
    <w:basedOn w:val="BodyText"/>
    <w:rsid w:val="00CE0496"/>
    <w:rPr>
      <w:rFonts w:ascii="Arial" w:hAnsi="Arial"/>
    </w:rPr>
  </w:style>
  <w:style w:type="paragraph" w:customStyle="1" w:styleId="RelatedHead">
    <w:name w:val="RelatedHead"/>
    <w:basedOn w:val="HeadingBase"/>
    <w:next w:val="Jump"/>
    <w:rsid w:val="00CE0496"/>
    <w:pPr>
      <w:spacing w:before="120" w:after="60"/>
      <w:ind w:left="2880"/>
    </w:pPr>
    <w:rPr>
      <w:sz w:val="24"/>
    </w:rPr>
  </w:style>
  <w:style w:type="paragraph" w:customStyle="1" w:styleId="GlossaryHeading">
    <w:name w:val="Glossary Heading"/>
    <w:basedOn w:val="HeadingBase"/>
    <w:next w:val="C1HPopupTopicText"/>
    <w:rsid w:val="00CE0496"/>
    <w:pPr>
      <w:keepNext/>
      <w:spacing w:before="340"/>
      <w:ind w:left="2880"/>
      <w:outlineLvl w:val="4"/>
    </w:pPr>
    <w:rPr>
      <w:sz w:val="28"/>
      <w:szCs w:val="28"/>
    </w:rPr>
  </w:style>
  <w:style w:type="paragraph" w:styleId="List2">
    <w:name w:val="List 2"/>
    <w:basedOn w:val="List"/>
    <w:rsid w:val="00CE0496"/>
    <w:pPr>
      <w:tabs>
        <w:tab w:val="clear" w:pos="3960"/>
        <w:tab w:val="left" w:pos="4320"/>
      </w:tabs>
      <w:ind w:left="4320"/>
    </w:pPr>
  </w:style>
  <w:style w:type="paragraph" w:customStyle="1" w:styleId="ListTable">
    <w:name w:val="List Table"/>
    <w:basedOn w:val="List"/>
    <w:rsid w:val="00CE0496"/>
    <w:pPr>
      <w:tabs>
        <w:tab w:val="clear" w:pos="3960"/>
        <w:tab w:val="left" w:pos="1080"/>
      </w:tabs>
      <w:ind w:left="1080"/>
    </w:pPr>
  </w:style>
  <w:style w:type="paragraph" w:customStyle="1" w:styleId="List2Table">
    <w:name w:val="List 2 Table"/>
    <w:basedOn w:val="ListTable"/>
    <w:rsid w:val="00CE0496"/>
    <w:pPr>
      <w:tabs>
        <w:tab w:val="left" w:pos="1440"/>
      </w:tabs>
      <w:ind w:left="1440"/>
    </w:pPr>
  </w:style>
  <w:style w:type="paragraph" w:customStyle="1" w:styleId="MarginNote">
    <w:name w:val="Margin Note"/>
    <w:basedOn w:val="BodyText"/>
    <w:rsid w:val="00CE0496"/>
    <w:pPr>
      <w:spacing w:before="122"/>
      <w:ind w:left="0" w:right="432"/>
    </w:pPr>
    <w:rPr>
      <w:i/>
    </w:rPr>
  </w:style>
  <w:style w:type="paragraph" w:styleId="NormalIndent">
    <w:name w:val="Normal Indent"/>
    <w:basedOn w:val="Normal"/>
    <w:rsid w:val="00CE0496"/>
    <w:pPr>
      <w:ind w:left="720"/>
    </w:pPr>
  </w:style>
  <w:style w:type="paragraph" w:customStyle="1" w:styleId="Note">
    <w:name w:val="Note"/>
    <w:basedOn w:val="BodyText"/>
    <w:rsid w:val="00CE0496"/>
    <w:pPr>
      <w:pBdr>
        <w:top w:val="single" w:sz="6" w:space="1" w:color="auto"/>
        <w:bottom w:val="single" w:sz="6" w:space="1" w:color="auto"/>
      </w:pBdr>
      <w:spacing w:before="180" w:after="180"/>
    </w:pPr>
  </w:style>
  <w:style w:type="paragraph" w:customStyle="1" w:styleId="Source">
    <w:name w:val="Source"/>
    <w:basedOn w:val="CodeBase"/>
    <w:rsid w:val="00CE0496"/>
    <w:pPr>
      <w:keepNext/>
      <w:keepLines/>
      <w:pBdr>
        <w:top w:val="single" w:sz="6" w:space="1" w:color="auto"/>
        <w:left w:val="single" w:sz="6" w:space="1" w:color="auto"/>
        <w:bottom w:val="single" w:sz="6" w:space="1" w:color="auto"/>
        <w:right w:val="single" w:sz="6" w:space="1" w:color="auto"/>
      </w:pBdr>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0"/>
    </w:pPr>
    <w:rPr>
      <w:sz w:val="16"/>
    </w:rPr>
  </w:style>
  <w:style w:type="paragraph" w:customStyle="1" w:styleId="SourceTop">
    <w:name w:val="SourceTop"/>
    <w:basedOn w:val="Source"/>
    <w:next w:val="Source"/>
    <w:rsid w:val="00CE0496"/>
    <w:pPr>
      <w:spacing w:before="115"/>
    </w:pPr>
  </w:style>
  <w:style w:type="paragraph" w:customStyle="1" w:styleId="SuperTitle">
    <w:name w:val="SuperTitle"/>
    <w:basedOn w:val="Title"/>
    <w:rsid w:val="00CE0496"/>
    <w:pPr>
      <w:pBdr>
        <w:top w:val="single" w:sz="48" w:space="1" w:color="auto"/>
      </w:pBdr>
      <w:spacing w:before="960" w:after="0"/>
      <w:ind w:left="1440"/>
    </w:pPr>
    <w:rPr>
      <w:sz w:val="28"/>
    </w:rPr>
  </w:style>
  <w:style w:type="paragraph" w:customStyle="1" w:styleId="TableBorder">
    <w:name w:val="TableBorder"/>
    <w:basedOn w:val="Normal"/>
    <w:next w:val="Normal"/>
    <w:rsid w:val="00CE0496"/>
    <w:pPr>
      <w:spacing w:before="40" w:line="40" w:lineRule="exact"/>
      <w:ind w:left="2880"/>
    </w:pPr>
  </w:style>
  <w:style w:type="paragraph" w:customStyle="1" w:styleId="TableHeading">
    <w:name w:val="TableHeading"/>
    <w:basedOn w:val="HeadingBase"/>
    <w:rsid w:val="00CE0496"/>
    <w:pPr>
      <w:spacing w:before="60" w:after="60"/>
      <w:ind w:right="72"/>
    </w:pPr>
  </w:style>
  <w:style w:type="paragraph" w:customStyle="1" w:styleId="TableText">
    <w:name w:val="TableText"/>
    <w:basedOn w:val="BodyText"/>
    <w:rsid w:val="00CE0496"/>
    <w:pPr>
      <w:spacing w:before="40" w:after="40"/>
      <w:ind w:left="72" w:right="72"/>
    </w:pPr>
    <w:rPr>
      <w:sz w:val="18"/>
    </w:rPr>
  </w:style>
  <w:style w:type="paragraph" w:customStyle="1" w:styleId="TOCBase">
    <w:name w:val="TOC Base"/>
    <w:basedOn w:val="Normal"/>
    <w:rsid w:val="00CE0496"/>
  </w:style>
  <w:style w:type="paragraph" w:styleId="TOC1">
    <w:name w:val="toc 1"/>
    <w:basedOn w:val="TOCBase"/>
    <w:next w:val="Normal"/>
    <w:autoRedefine/>
    <w:semiHidden/>
    <w:rsid w:val="00CE0496"/>
    <w:pPr>
      <w:tabs>
        <w:tab w:val="right" w:pos="9720"/>
      </w:tabs>
      <w:spacing w:before="245" w:after="115"/>
      <w:ind w:left="1440"/>
    </w:pPr>
    <w:rPr>
      <w:rFonts w:ascii="Arial" w:hAnsi="Arial"/>
      <w:b/>
      <w:sz w:val="24"/>
    </w:rPr>
  </w:style>
  <w:style w:type="paragraph" w:styleId="TOC2">
    <w:name w:val="toc 2"/>
    <w:basedOn w:val="TOCBase"/>
    <w:next w:val="Normal"/>
    <w:autoRedefine/>
    <w:semiHidden/>
    <w:rsid w:val="00CE0496"/>
    <w:pPr>
      <w:tabs>
        <w:tab w:val="right" w:leader="dot" w:pos="9720"/>
      </w:tabs>
      <w:ind w:left="2160"/>
    </w:pPr>
  </w:style>
  <w:style w:type="paragraph" w:styleId="TOC3">
    <w:name w:val="toc 3"/>
    <w:basedOn w:val="TOCBase"/>
    <w:next w:val="Normal"/>
    <w:autoRedefine/>
    <w:semiHidden/>
    <w:rsid w:val="00CE0496"/>
    <w:pPr>
      <w:tabs>
        <w:tab w:val="right" w:leader="dot" w:pos="9720"/>
      </w:tabs>
      <w:ind w:left="2880"/>
    </w:pPr>
  </w:style>
  <w:style w:type="paragraph" w:customStyle="1" w:styleId="TOCTitle">
    <w:name w:val="TOCTitle"/>
    <w:basedOn w:val="HeadingBase"/>
    <w:rsid w:val="00CE0496"/>
    <w:pPr>
      <w:keepNext/>
      <w:spacing w:before="960" w:after="480"/>
    </w:pPr>
    <w:rPr>
      <w:sz w:val="60"/>
    </w:rPr>
  </w:style>
  <w:style w:type="character" w:customStyle="1" w:styleId="C1HConditional">
    <w:name w:val="C1H Conditional"/>
    <w:basedOn w:val="DefaultParagraphFont"/>
    <w:rsid w:val="00CE0496"/>
  </w:style>
  <w:style w:type="paragraph" w:customStyle="1" w:styleId="C1HBullet">
    <w:name w:val="C1H Bullet"/>
    <w:basedOn w:val="BodyText"/>
    <w:rsid w:val="00CE0496"/>
    <w:pPr>
      <w:numPr>
        <w:numId w:val="26"/>
      </w:numPr>
    </w:pPr>
  </w:style>
  <w:style w:type="paragraph" w:customStyle="1" w:styleId="C1HBullet2">
    <w:name w:val="C1H Bullet 2"/>
    <w:basedOn w:val="BodyText"/>
    <w:rsid w:val="00CE0496"/>
    <w:pPr>
      <w:numPr>
        <w:numId w:val="27"/>
      </w:numPr>
    </w:pPr>
  </w:style>
  <w:style w:type="paragraph" w:customStyle="1" w:styleId="C1HBullet2A">
    <w:name w:val="C1H Bullet 2A"/>
    <w:basedOn w:val="BodyText"/>
    <w:rsid w:val="00CE0496"/>
    <w:pPr>
      <w:numPr>
        <w:numId w:val="28"/>
      </w:numPr>
    </w:pPr>
  </w:style>
  <w:style w:type="paragraph" w:customStyle="1" w:styleId="C1HNumber">
    <w:name w:val="C1H Number"/>
    <w:basedOn w:val="BodyText"/>
    <w:rsid w:val="00CE0496"/>
    <w:pPr>
      <w:numPr>
        <w:numId w:val="29"/>
      </w:numPr>
    </w:pPr>
  </w:style>
  <w:style w:type="paragraph" w:customStyle="1" w:styleId="C1HNumber2">
    <w:name w:val="C1H Number 2"/>
    <w:basedOn w:val="BodyText"/>
    <w:rsid w:val="00CE0496"/>
    <w:pPr>
      <w:numPr>
        <w:numId w:val="30"/>
      </w:numPr>
    </w:pPr>
  </w:style>
  <w:style w:type="paragraph" w:customStyle="1" w:styleId="C1HContinue">
    <w:name w:val="C1H Continue"/>
    <w:basedOn w:val="BodyText"/>
    <w:rsid w:val="00CE0496"/>
    <w:pPr>
      <w:ind w:left="3960"/>
    </w:pPr>
  </w:style>
  <w:style w:type="paragraph" w:customStyle="1" w:styleId="C1HContinue2">
    <w:name w:val="C1H Continue 2"/>
    <w:basedOn w:val="BodyText"/>
    <w:rsid w:val="00CE0496"/>
    <w:pPr>
      <w:ind w:left="4320"/>
    </w:pPr>
  </w:style>
  <w:style w:type="character" w:customStyle="1" w:styleId="C1HJump">
    <w:name w:val="C1H Jump"/>
    <w:basedOn w:val="DefaultParagraphFont"/>
    <w:rsid w:val="00CE0496"/>
  </w:style>
  <w:style w:type="character" w:customStyle="1" w:styleId="C1HPopup">
    <w:name w:val="C1H Popup"/>
    <w:basedOn w:val="DefaultParagraphFont"/>
    <w:rsid w:val="00CE0496"/>
  </w:style>
  <w:style w:type="character" w:customStyle="1" w:styleId="C1HIndex">
    <w:name w:val="C1H Index"/>
    <w:basedOn w:val="DefaultParagraphFont"/>
    <w:rsid w:val="00CE0496"/>
  </w:style>
  <w:style w:type="character" w:customStyle="1" w:styleId="C1HContentsTitle">
    <w:name w:val="C1H Contents Title"/>
    <w:basedOn w:val="DefaultParagraphFont"/>
    <w:rsid w:val="00CE0496"/>
  </w:style>
  <w:style w:type="paragraph" w:customStyle="1" w:styleId="MidTopic">
    <w:name w:val="MidTopic"/>
    <w:basedOn w:val="Heading3"/>
    <w:next w:val="BodyText"/>
    <w:rsid w:val="00CE0496"/>
    <w:pPr>
      <w:outlineLvl w:val="9"/>
    </w:pPr>
  </w:style>
  <w:style w:type="paragraph" w:customStyle="1" w:styleId="WhatsThis">
    <w:name w:val="WhatsThis"/>
    <w:basedOn w:val="Heading3"/>
    <w:next w:val="C1HPopupTopicText"/>
    <w:rsid w:val="00CE0496"/>
    <w:pPr>
      <w:outlineLvl w:val="9"/>
    </w:pPr>
  </w:style>
  <w:style w:type="character" w:customStyle="1" w:styleId="C1HContextID">
    <w:name w:val="C1H Context ID"/>
    <w:basedOn w:val="DefaultParagraphFont"/>
    <w:rsid w:val="00CE0496"/>
    <w:rPr>
      <w:vanish/>
    </w:rPr>
  </w:style>
  <w:style w:type="character" w:customStyle="1" w:styleId="C1HGroup">
    <w:name w:val="C1H Group"/>
    <w:basedOn w:val="DefaultParagraphFont"/>
    <w:rsid w:val="00CE0496"/>
  </w:style>
  <w:style w:type="character" w:customStyle="1" w:styleId="C1HGroupInvisible">
    <w:name w:val="C1H Group Invisible"/>
    <w:basedOn w:val="C1HGroup"/>
    <w:rsid w:val="00CE0496"/>
    <w:rPr>
      <w:vanish/>
    </w:rPr>
  </w:style>
  <w:style w:type="character" w:customStyle="1" w:styleId="C1HGroupLink">
    <w:name w:val="C1H Group Link"/>
    <w:basedOn w:val="DefaultParagraphFont"/>
    <w:rsid w:val="00CE0496"/>
  </w:style>
  <w:style w:type="character" w:customStyle="1" w:styleId="C1HIndexInvisible">
    <w:name w:val="C1H Index Invisible"/>
    <w:basedOn w:val="C1HIndex"/>
    <w:rsid w:val="00CE0496"/>
    <w:rPr>
      <w:vanish/>
    </w:rPr>
  </w:style>
  <w:style w:type="character" w:customStyle="1" w:styleId="C1HKeywordLink">
    <w:name w:val="C1H Keyword Link"/>
    <w:basedOn w:val="DefaultParagraphFont"/>
    <w:rsid w:val="00CE0496"/>
  </w:style>
  <w:style w:type="character" w:customStyle="1" w:styleId="C1HLinkTag">
    <w:name w:val="C1H Link Tag"/>
    <w:basedOn w:val="DefaultParagraphFont"/>
    <w:rsid w:val="00CE0496"/>
  </w:style>
  <w:style w:type="character" w:customStyle="1" w:styleId="C1HLinkTagInvisible">
    <w:name w:val="C1H Link Tag Invisible"/>
    <w:basedOn w:val="C1HLinkTag"/>
    <w:rsid w:val="00CE0496"/>
    <w:rPr>
      <w:vanish/>
    </w:rPr>
  </w:style>
  <w:style w:type="character" w:customStyle="1" w:styleId="C1HManual">
    <w:name w:val="C1H Manual"/>
    <w:basedOn w:val="DefaultParagraphFont"/>
    <w:rsid w:val="00CE0496"/>
  </w:style>
  <w:style w:type="character" w:customStyle="1" w:styleId="C1HOnline">
    <w:name w:val="C1H Online"/>
    <w:basedOn w:val="DefaultParagraphFont"/>
    <w:rsid w:val="00CE0496"/>
  </w:style>
  <w:style w:type="paragraph" w:customStyle="1" w:styleId="C1HPopupTopicText">
    <w:name w:val="C1H Popup Topic Text"/>
    <w:basedOn w:val="BodyText"/>
    <w:rsid w:val="00CE0496"/>
  </w:style>
  <w:style w:type="character" w:customStyle="1" w:styleId="C1HTopicProperties">
    <w:name w:val="C1H Topic Properties"/>
    <w:basedOn w:val="DefaultParagraphFont"/>
    <w:rsid w:val="00CE0496"/>
    <w:rPr>
      <w:vanish/>
    </w:rPr>
  </w:style>
  <w:style w:type="paragraph" w:styleId="ListBullet">
    <w:name w:val="List Bullet"/>
    <w:basedOn w:val="Normal"/>
    <w:rsid w:val="00CE0496"/>
    <w:pPr>
      <w:numPr>
        <w:numId w:val="1"/>
      </w:numPr>
    </w:pPr>
  </w:style>
  <w:style w:type="paragraph" w:styleId="ListBullet2">
    <w:name w:val="List Bullet 2"/>
    <w:basedOn w:val="Normal"/>
    <w:rsid w:val="00CE0496"/>
    <w:pPr>
      <w:numPr>
        <w:numId w:val="3"/>
      </w:numPr>
    </w:pPr>
  </w:style>
  <w:style w:type="paragraph" w:styleId="ListBullet3">
    <w:name w:val="List Bullet 3"/>
    <w:basedOn w:val="Normal"/>
    <w:rsid w:val="00CE0496"/>
    <w:pPr>
      <w:numPr>
        <w:numId w:val="31"/>
      </w:numPr>
    </w:pPr>
  </w:style>
  <w:style w:type="paragraph" w:styleId="ListBullet4">
    <w:name w:val="List Bullet 4"/>
    <w:basedOn w:val="Normal"/>
    <w:rsid w:val="00CE0496"/>
    <w:pPr>
      <w:numPr>
        <w:numId w:val="32"/>
      </w:numPr>
    </w:pPr>
  </w:style>
  <w:style w:type="paragraph" w:styleId="ListBullet5">
    <w:name w:val="List Bullet 5"/>
    <w:basedOn w:val="Normal"/>
    <w:rsid w:val="00CE0496"/>
    <w:pPr>
      <w:numPr>
        <w:numId w:val="33"/>
      </w:numPr>
    </w:pPr>
  </w:style>
  <w:style w:type="paragraph" w:styleId="ListNumber">
    <w:name w:val="List Number"/>
    <w:basedOn w:val="Normal"/>
    <w:rsid w:val="00CE0496"/>
    <w:pPr>
      <w:numPr>
        <w:numId w:val="7"/>
      </w:numPr>
    </w:pPr>
  </w:style>
  <w:style w:type="paragraph" w:styleId="ListNumber2">
    <w:name w:val="List Number 2"/>
    <w:basedOn w:val="Normal"/>
    <w:rsid w:val="00CE0496"/>
    <w:pPr>
      <w:numPr>
        <w:numId w:val="9"/>
      </w:numPr>
    </w:pPr>
  </w:style>
  <w:style w:type="paragraph" w:styleId="ListNumber4">
    <w:name w:val="List Number 4"/>
    <w:basedOn w:val="Normal"/>
    <w:rsid w:val="00CE0496"/>
    <w:pPr>
      <w:numPr>
        <w:numId w:val="35"/>
      </w:numPr>
    </w:pPr>
  </w:style>
  <w:style w:type="paragraph" w:styleId="ListNumber5">
    <w:name w:val="List Number 5"/>
    <w:basedOn w:val="Normal"/>
    <w:rsid w:val="00CE0496"/>
    <w:pPr>
      <w:numPr>
        <w:numId w:val="36"/>
      </w:numPr>
    </w:pPr>
  </w:style>
  <w:style w:type="paragraph" w:styleId="ListNumber3">
    <w:name w:val="List Number 3"/>
    <w:basedOn w:val="Normal"/>
    <w:rsid w:val="00CE0496"/>
    <w:pPr>
      <w:numPr>
        <w:numId w:val="34"/>
      </w:numPr>
    </w:pPr>
  </w:style>
  <w:style w:type="paragraph" w:styleId="HTMLAddress">
    <w:name w:val="HTML Address"/>
    <w:basedOn w:val="BodyText"/>
    <w:rsid w:val="00CE0496"/>
    <w:rPr>
      <w:i/>
      <w:iCs/>
    </w:rPr>
  </w:style>
  <w:style w:type="paragraph" w:styleId="HTMLPreformatted">
    <w:name w:val="HTML Preformatted"/>
    <w:basedOn w:val="BodyText"/>
    <w:rsid w:val="00CE0496"/>
    <w:rPr>
      <w:rFonts w:ascii="Courier New" w:hAnsi="Courier New" w:cs="Courier New"/>
    </w:rPr>
  </w:style>
  <w:style w:type="paragraph" w:styleId="NormalWeb">
    <w:name w:val="Normal (Web)"/>
    <w:basedOn w:val="BodyText"/>
    <w:rsid w:val="00CE0496"/>
    <w:rPr>
      <w:rFonts w:cs="Times New Roman"/>
      <w:szCs w:val="24"/>
    </w:rPr>
  </w:style>
  <w:style w:type="paragraph" w:styleId="BodyTextIndent">
    <w:name w:val="Body Text Indent"/>
    <w:basedOn w:val="Normal"/>
    <w:rsid w:val="00CE0496"/>
    <w:pPr>
      <w:spacing w:after="120"/>
      <w:ind w:left="3163"/>
    </w:pPr>
  </w:style>
  <w:style w:type="paragraph" w:styleId="BodyTextFirstIndent">
    <w:name w:val="Body Text First Indent"/>
    <w:basedOn w:val="BodyText"/>
    <w:rsid w:val="00CE0496"/>
    <w:pPr>
      <w:spacing w:before="0" w:after="120"/>
      <w:ind w:firstLine="210"/>
    </w:pPr>
  </w:style>
  <w:style w:type="character" w:customStyle="1" w:styleId="C1HInlineExpand">
    <w:name w:val="C1H Inline Expand"/>
    <w:basedOn w:val="DefaultParagraphFont"/>
    <w:rsid w:val="00CE0496"/>
  </w:style>
  <w:style w:type="character" w:customStyle="1" w:styleId="C1HInlinePopup">
    <w:name w:val="C1H Inline Popup"/>
    <w:basedOn w:val="C1HInlineExpand"/>
    <w:rsid w:val="00CE0496"/>
  </w:style>
  <w:style w:type="character" w:customStyle="1" w:styleId="C1HExpandText">
    <w:name w:val="C1H Expand Text"/>
    <w:basedOn w:val="DefaultParagraphFont"/>
    <w:rsid w:val="00CE0496"/>
    <w:rPr>
      <w:i/>
    </w:rPr>
  </w:style>
  <w:style w:type="character" w:customStyle="1" w:styleId="C1HPopupText">
    <w:name w:val="C1H Popup Text"/>
    <w:basedOn w:val="DefaultParagraphFont"/>
    <w:rsid w:val="00CE0496"/>
  </w:style>
  <w:style w:type="character" w:customStyle="1" w:styleId="C1HInlineDropdown">
    <w:name w:val="C1H Inline Dropdown"/>
    <w:basedOn w:val="C1HInlineExpand"/>
    <w:rsid w:val="00CE0496"/>
  </w:style>
  <w:style w:type="character" w:customStyle="1" w:styleId="C1HDropdownText">
    <w:name w:val="C1H Dropdown Text"/>
    <w:basedOn w:val="DefaultParagraphFont"/>
    <w:rsid w:val="00CE0496"/>
  </w:style>
  <w:style w:type="paragraph" w:customStyle="1" w:styleId="GlossaryHeadingnoautolinks">
    <w:name w:val="Glossary Heading (no auto links)"/>
    <w:basedOn w:val="GlossaryHeading"/>
    <w:next w:val="C1HPopupTopicText"/>
    <w:rsid w:val="00CE0496"/>
  </w:style>
  <w:style w:type="paragraph" w:customStyle="1" w:styleId="C1SectionCollapsed">
    <w:name w:val="C1 Section Collapsed"/>
    <w:basedOn w:val="Heading4"/>
    <w:next w:val="BodyText"/>
    <w:rsid w:val="00273E91"/>
  </w:style>
  <w:style w:type="paragraph" w:customStyle="1" w:styleId="C1SectionExpanded">
    <w:name w:val="C1 Section Expanded"/>
    <w:basedOn w:val="Heading4"/>
    <w:next w:val="BodyText"/>
    <w:rsid w:val="00273E91"/>
  </w:style>
  <w:style w:type="paragraph" w:customStyle="1" w:styleId="C1SectionEnd">
    <w:name w:val="C1 Section End"/>
    <w:basedOn w:val="BodyText"/>
    <w:next w:val="BodyText"/>
    <w:rsid w:val="00273E91"/>
  </w:style>
  <w:style w:type="paragraph" w:styleId="BalloonText">
    <w:name w:val="Balloon Text"/>
    <w:basedOn w:val="Normal"/>
    <w:link w:val="BalloonTextChar"/>
    <w:rsid w:val="00A12824"/>
    <w:rPr>
      <w:rFonts w:ascii="Tahoma" w:hAnsi="Tahoma" w:cs="Tahoma"/>
      <w:sz w:val="16"/>
      <w:szCs w:val="16"/>
    </w:rPr>
  </w:style>
  <w:style w:type="character" w:customStyle="1" w:styleId="BalloonTextChar">
    <w:name w:val="Balloon Text Char"/>
    <w:basedOn w:val="DefaultParagraphFont"/>
    <w:link w:val="BalloonText"/>
    <w:rsid w:val="00A12824"/>
    <w:rPr>
      <w:rFonts w:ascii="Tahoma" w:hAnsi="Tahoma" w:cs="Tahoma"/>
      <w:sz w:val="16"/>
      <w:szCs w:val="16"/>
    </w:rPr>
  </w:style>
  <w:style w:type="paragraph" w:customStyle="1" w:styleId="Default">
    <w:name w:val="Default"/>
    <w:rsid w:val="00C757DA"/>
    <w:pPr>
      <w:autoSpaceDE w:val="0"/>
      <w:autoSpaceDN w:val="0"/>
      <w:adjustRightInd w:val="0"/>
    </w:pPr>
    <w:rPr>
      <w:rFonts w:ascii="BAJMCM+PalatinoLinotype" w:hAnsi="BAJMCM+PalatinoLinotype" w:cs="BAJMCM+PalatinoLinotype"/>
      <w:color w:val="000000"/>
      <w:sz w:val="24"/>
      <w:szCs w:val="24"/>
      <w:lang w:val="en-GB"/>
    </w:rPr>
  </w:style>
  <w:style w:type="character" w:customStyle="1" w:styleId="Heading2Char">
    <w:name w:val="Heading 2 Char"/>
    <w:basedOn w:val="DefaultParagraphFont"/>
    <w:link w:val="Heading2"/>
    <w:rsid w:val="00C20528"/>
    <w:rPr>
      <w:rFonts w:ascii="Arial" w:hAnsi="Arial"/>
      <w:b/>
      <w:sz w:val="36"/>
    </w:rPr>
  </w:style>
  <w:style w:type="character" w:customStyle="1" w:styleId="BodyTextChar">
    <w:name w:val="Body Text Char"/>
    <w:basedOn w:val="DefaultParagraphFont"/>
    <w:link w:val="BodyText"/>
    <w:rsid w:val="00C20528"/>
  </w:style>
  <w:style w:type="paragraph" w:styleId="ListParagraph">
    <w:name w:val="List Paragraph"/>
    <w:basedOn w:val="Normal"/>
    <w:uiPriority w:val="34"/>
    <w:qFormat/>
    <w:rsid w:val="0001585F"/>
    <w:pPr>
      <w:ind w:left="720"/>
      <w:contextualSpacing/>
    </w:pPr>
  </w:style>
</w:styles>
</file>

<file path=word/webSettings.xml><?xml version="1.0" encoding="utf-8"?>
<w:webSettings xmlns:r="http://schemas.openxmlformats.org/officeDocument/2006/relationships" xmlns:w="http://schemas.openxmlformats.org/wordprocessingml/2006/main">
  <w:divs>
    <w:div w:id="84725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DD85-D491-4C58-8EF9-D94CC132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Doc-To-Help Standard Template</vt:lpstr>
    </vt:vector>
  </TitlesOfParts>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Doc-To-Help Standard Template</dc:title>
  <dc:subject/>
  <dc:creator>pab513</dc:creator>
  <cp:keywords/>
  <dc:description>Version 2010.1.524</dc:description>
  <cp:lastModifiedBy>kw595</cp:lastModifiedBy>
  <cp:revision>9</cp:revision>
  <cp:lastPrinted>2011-05-05T09:30:00Z</cp:lastPrinted>
  <dcterms:created xsi:type="dcterms:W3CDTF">2011-05-05T09:39:00Z</dcterms:created>
  <dcterms:modified xsi:type="dcterms:W3CDTF">2011-06-08T10:14:00Z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